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8BF97" w14:textId="77777777" w:rsidR="003E68EE" w:rsidRPr="00AA0BF8" w:rsidRDefault="003E68EE" w:rsidP="003E68EE">
      <w:pPr>
        <w:pStyle w:val="Heading1"/>
      </w:pPr>
      <w:bookmarkStart w:id="0" w:name="_Hlk23875367"/>
      <w:bookmarkStart w:id="1" w:name="_GoBack"/>
      <w:bookmarkEnd w:id="1"/>
      <w:r>
        <w:t xml:space="preserve">Organization </w:t>
      </w:r>
      <w:r w:rsidRPr="00AA0BF8">
        <w:t>and Contact Information</w:t>
      </w:r>
    </w:p>
    <w:p w14:paraId="460AF645" w14:textId="77777777" w:rsidR="003E68EE" w:rsidRPr="00AA0BF8" w:rsidRDefault="003E68EE" w:rsidP="003E68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3E68EE" w:rsidRPr="00AA0BF8" w14:paraId="060EB3C6" w14:textId="77777777" w:rsidTr="00A5315D">
        <w:tc>
          <w:tcPr>
            <w:tcW w:w="9350" w:type="dxa"/>
            <w:gridSpan w:val="2"/>
            <w:shd w:val="clear" w:color="auto" w:fill="03304B"/>
          </w:tcPr>
          <w:p w14:paraId="2D969CEB" w14:textId="7B26BFBE" w:rsidR="003E68EE" w:rsidRPr="00AA0BF8" w:rsidRDefault="003E68EE" w:rsidP="00A531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Organization</w:t>
            </w:r>
            <w:r w:rsidRPr="00AA0BF8">
              <w:rPr>
                <w:b/>
                <w:color w:val="FFFFFF" w:themeColor="background1"/>
              </w:rPr>
              <w:t xml:space="preserve"> Name</w:t>
            </w:r>
            <w:r w:rsidRPr="00AA0BF8">
              <w:rPr>
                <w:b/>
                <w:i/>
                <w:color w:val="FFFFFF" w:themeColor="background1"/>
                <w:sz w:val="18"/>
              </w:rPr>
              <w:t xml:space="preserve"> </w:t>
            </w:r>
            <w:r w:rsidRPr="00AA0BF8">
              <w:rPr>
                <w:i/>
                <w:color w:val="FFFFFF" w:themeColor="background1"/>
                <w:sz w:val="18"/>
              </w:rPr>
              <w:t xml:space="preserve">(Please enter the name of the responding </w:t>
            </w:r>
            <w:r w:rsidR="00A96549">
              <w:rPr>
                <w:i/>
                <w:color w:val="FFFFFF" w:themeColor="background1"/>
                <w:sz w:val="18"/>
              </w:rPr>
              <w:t>o</w:t>
            </w:r>
            <w:r w:rsidR="001311BF">
              <w:rPr>
                <w:i/>
                <w:color w:val="FFFFFF" w:themeColor="background1"/>
                <w:sz w:val="18"/>
              </w:rPr>
              <w:t>rganization</w:t>
            </w:r>
            <w:r w:rsidRPr="00AA0BF8">
              <w:rPr>
                <w:i/>
                <w:color w:val="FFFFFF" w:themeColor="background1"/>
                <w:sz w:val="18"/>
              </w:rPr>
              <w:t>)</w:t>
            </w:r>
          </w:p>
        </w:tc>
      </w:tr>
      <w:tr w:rsidR="003E68EE" w:rsidRPr="00AA0BF8" w14:paraId="6BB9DC0C" w14:textId="77777777" w:rsidTr="00A5315D">
        <w:tc>
          <w:tcPr>
            <w:tcW w:w="9350" w:type="dxa"/>
            <w:gridSpan w:val="2"/>
          </w:tcPr>
          <w:p w14:paraId="7D136295" w14:textId="77777777" w:rsidR="003E68EE" w:rsidRPr="00AA0BF8" w:rsidRDefault="003E68EE" w:rsidP="00A5315D"/>
        </w:tc>
      </w:tr>
      <w:tr w:rsidR="003E68EE" w:rsidRPr="00AA0BF8" w14:paraId="0F16613D" w14:textId="77777777" w:rsidTr="00A5315D">
        <w:tc>
          <w:tcPr>
            <w:tcW w:w="9350" w:type="dxa"/>
            <w:gridSpan w:val="2"/>
            <w:shd w:val="clear" w:color="auto" w:fill="03304B"/>
          </w:tcPr>
          <w:p w14:paraId="543BA42E" w14:textId="77777777" w:rsidR="003E68EE" w:rsidRPr="00AA0BF8" w:rsidRDefault="003E68EE" w:rsidP="00A5315D">
            <w:pPr>
              <w:rPr>
                <w:b/>
              </w:rPr>
            </w:pPr>
            <w:r>
              <w:rPr>
                <w:b/>
                <w:color w:val="FFFFFF" w:themeColor="background1"/>
              </w:rPr>
              <w:t>Organization</w:t>
            </w:r>
            <w:r w:rsidRPr="00AA0BF8">
              <w:rPr>
                <w:b/>
                <w:color w:val="FFFFFF" w:themeColor="background1"/>
              </w:rPr>
              <w:t xml:space="preserve"> Point of Contact Information </w:t>
            </w:r>
            <w:r w:rsidRPr="00AA0BF8">
              <w:rPr>
                <w:i/>
                <w:color w:val="FFFFFF" w:themeColor="background1"/>
                <w:sz w:val="18"/>
              </w:rPr>
              <w:t>(Please provide one point of contact)</w:t>
            </w:r>
          </w:p>
        </w:tc>
      </w:tr>
      <w:tr w:rsidR="003E68EE" w:rsidRPr="00AA0BF8" w14:paraId="3EBF6819" w14:textId="77777777" w:rsidTr="00A5315D">
        <w:tc>
          <w:tcPr>
            <w:tcW w:w="1795" w:type="dxa"/>
          </w:tcPr>
          <w:p w14:paraId="689D238B" w14:textId="77777777" w:rsidR="003E68EE" w:rsidRPr="00AA0BF8" w:rsidRDefault="003E68EE" w:rsidP="00A5315D">
            <w:pPr>
              <w:jc w:val="right"/>
            </w:pPr>
            <w:r w:rsidRPr="00AA0BF8">
              <w:t>Name</w:t>
            </w:r>
          </w:p>
        </w:tc>
        <w:tc>
          <w:tcPr>
            <w:tcW w:w="7555" w:type="dxa"/>
          </w:tcPr>
          <w:p w14:paraId="6F698926" w14:textId="77777777" w:rsidR="003E68EE" w:rsidRPr="00AA0BF8" w:rsidRDefault="003E68EE" w:rsidP="00A5315D"/>
        </w:tc>
      </w:tr>
      <w:tr w:rsidR="003E68EE" w:rsidRPr="00AA0BF8" w14:paraId="4337C64A" w14:textId="77777777" w:rsidTr="00A5315D">
        <w:tc>
          <w:tcPr>
            <w:tcW w:w="1795" w:type="dxa"/>
          </w:tcPr>
          <w:p w14:paraId="50095322" w14:textId="77777777" w:rsidR="003E68EE" w:rsidRPr="00AA0BF8" w:rsidRDefault="003E68EE" w:rsidP="00A5315D">
            <w:pPr>
              <w:jc w:val="right"/>
            </w:pPr>
            <w:r w:rsidRPr="00AA0BF8">
              <w:t>Title</w:t>
            </w:r>
          </w:p>
        </w:tc>
        <w:tc>
          <w:tcPr>
            <w:tcW w:w="7555" w:type="dxa"/>
          </w:tcPr>
          <w:p w14:paraId="10C72735" w14:textId="77777777" w:rsidR="003E68EE" w:rsidRPr="00AA0BF8" w:rsidRDefault="003E68EE" w:rsidP="00A5315D"/>
        </w:tc>
      </w:tr>
      <w:tr w:rsidR="003E68EE" w:rsidRPr="00AA0BF8" w14:paraId="1C1FE8B5" w14:textId="77777777" w:rsidTr="00A5315D">
        <w:tc>
          <w:tcPr>
            <w:tcW w:w="1795" w:type="dxa"/>
          </w:tcPr>
          <w:p w14:paraId="4DBEDAE6" w14:textId="77777777" w:rsidR="003E68EE" w:rsidRPr="00AA0BF8" w:rsidRDefault="003E68EE" w:rsidP="00A5315D">
            <w:pPr>
              <w:jc w:val="right"/>
            </w:pPr>
            <w:r w:rsidRPr="00AA0BF8">
              <w:t>Phone Number</w:t>
            </w:r>
          </w:p>
        </w:tc>
        <w:tc>
          <w:tcPr>
            <w:tcW w:w="7555" w:type="dxa"/>
          </w:tcPr>
          <w:p w14:paraId="2DE0977A" w14:textId="77777777" w:rsidR="003E68EE" w:rsidRPr="00AA0BF8" w:rsidRDefault="003E68EE" w:rsidP="00A5315D"/>
        </w:tc>
      </w:tr>
      <w:tr w:rsidR="003E68EE" w:rsidRPr="00AA0BF8" w14:paraId="70FEAE0B" w14:textId="77777777" w:rsidTr="00A5315D">
        <w:tc>
          <w:tcPr>
            <w:tcW w:w="1795" w:type="dxa"/>
          </w:tcPr>
          <w:p w14:paraId="0F2F22E0" w14:textId="77777777" w:rsidR="003E68EE" w:rsidRPr="00AA0BF8" w:rsidRDefault="003E68EE" w:rsidP="00A5315D">
            <w:pPr>
              <w:jc w:val="right"/>
            </w:pPr>
            <w:r w:rsidRPr="00AA0BF8">
              <w:t>Email Address</w:t>
            </w:r>
          </w:p>
        </w:tc>
        <w:tc>
          <w:tcPr>
            <w:tcW w:w="7555" w:type="dxa"/>
          </w:tcPr>
          <w:p w14:paraId="1E59AAEB" w14:textId="77777777" w:rsidR="003E68EE" w:rsidRPr="00AA0BF8" w:rsidRDefault="003E68EE" w:rsidP="00A5315D"/>
        </w:tc>
      </w:tr>
    </w:tbl>
    <w:p w14:paraId="0B6E679B" w14:textId="04257C64" w:rsidR="003F5306" w:rsidRDefault="00E70BD4" w:rsidP="008C4322">
      <w:pPr>
        <w:pStyle w:val="Heading1"/>
      </w:pPr>
      <w:r>
        <w:t>Overview</w:t>
      </w:r>
    </w:p>
    <w:p w14:paraId="60A80D21" w14:textId="338E2720" w:rsidR="001E5D07" w:rsidRDefault="00565A35" w:rsidP="003F5306">
      <w:r>
        <w:t>Interim Business Process Models</w:t>
      </w:r>
      <w:r w:rsidR="001E5D07">
        <w:t xml:space="preserve"> will apply to</w:t>
      </w:r>
      <w:r w:rsidR="000156B0">
        <w:t xml:space="preserve"> </w:t>
      </w:r>
      <w:r w:rsidR="001E5D07">
        <w:t>Wave</w:t>
      </w:r>
      <w:r w:rsidR="000156B0">
        <w:t xml:space="preserve"> and </w:t>
      </w:r>
      <w:r w:rsidR="001E5D07">
        <w:t>Pilot organizations</w:t>
      </w:r>
      <w:r w:rsidR="008B3FA8">
        <w:t>,</w:t>
      </w:r>
      <w:r w:rsidR="001E5D07">
        <w:t xml:space="preserve"> until Wave 2 implementation. Review each </w:t>
      </w:r>
      <w:r>
        <w:t>Interim Business Process Model</w:t>
      </w:r>
      <w:r w:rsidR="001E5D07">
        <w:t xml:space="preserve"> to understand how they will apply to your organization:</w:t>
      </w:r>
    </w:p>
    <w:p w14:paraId="4462D1AE" w14:textId="14488569" w:rsidR="008B3FA8" w:rsidRDefault="008B3FA8" w:rsidP="001E5D07">
      <w:pPr>
        <w:pStyle w:val="ListParagraph"/>
        <w:numPr>
          <w:ilvl w:val="0"/>
          <w:numId w:val="35"/>
        </w:numPr>
      </w:pPr>
      <w:r>
        <w:t xml:space="preserve">For Wave </w:t>
      </w:r>
      <w:r w:rsidR="00565A35">
        <w:t>o</w:t>
      </w:r>
      <w:r>
        <w:t xml:space="preserve">rganizations, </w:t>
      </w:r>
      <w:r w:rsidR="00565A35">
        <w:t>Interim Business Process Models</w:t>
      </w:r>
      <w:r>
        <w:t xml:space="preserve"> can be applied as processes that will be employed until fully transitioning to Florida PALM; and </w:t>
      </w:r>
    </w:p>
    <w:p w14:paraId="7DBAFC64" w14:textId="31CE1237" w:rsidR="001E5D07" w:rsidRDefault="001E5D07" w:rsidP="001E5D07">
      <w:pPr>
        <w:pStyle w:val="ListParagraph"/>
        <w:numPr>
          <w:ilvl w:val="0"/>
          <w:numId w:val="35"/>
        </w:numPr>
      </w:pPr>
      <w:r>
        <w:t xml:space="preserve">For Pilot </w:t>
      </w:r>
      <w:r w:rsidR="00565A35">
        <w:t>o</w:t>
      </w:r>
      <w:r>
        <w:t xml:space="preserve">rganizations, </w:t>
      </w:r>
      <w:r w:rsidR="00565A35">
        <w:t>Interim Business Process Models</w:t>
      </w:r>
      <w:r>
        <w:t xml:space="preserve"> </w:t>
      </w:r>
      <w:r w:rsidR="008B3FA8">
        <w:t>c</w:t>
      </w:r>
      <w:r>
        <w:t xml:space="preserve">an be applied as </w:t>
      </w:r>
      <w:r w:rsidRPr="00092DE3">
        <w:t>variation</w:t>
      </w:r>
      <w:r>
        <w:t>s</w:t>
      </w:r>
      <w:r w:rsidRPr="00092DE3">
        <w:t xml:space="preserve"> from the Standardized Business Process Models</w:t>
      </w:r>
      <w:r w:rsidR="00D62DE8">
        <w:t xml:space="preserve"> when transacting with Wave organizations. </w:t>
      </w:r>
    </w:p>
    <w:p w14:paraId="0D54A6C0" w14:textId="4983A408" w:rsidR="001E5D07" w:rsidRDefault="001E5D07" w:rsidP="008570EA"/>
    <w:p w14:paraId="6F9B82B0" w14:textId="32483802" w:rsidR="00594B28" w:rsidRDefault="00565A35" w:rsidP="001C011C">
      <w:r>
        <w:t>While</w:t>
      </w:r>
      <w:r w:rsidR="008B3FA8">
        <w:t xml:space="preserve"> reviewing each model</w:t>
      </w:r>
      <w:r w:rsidR="001C011C">
        <w:t>, d</w:t>
      </w:r>
      <w:r w:rsidR="00594B28">
        <w:t>etermine</w:t>
      </w:r>
      <w:r w:rsidR="001C011C">
        <w:t xml:space="preserve"> </w:t>
      </w:r>
      <w:r w:rsidR="008B3FA8">
        <w:t xml:space="preserve">if all </w:t>
      </w:r>
      <w:r w:rsidR="001C011C">
        <w:t xml:space="preserve">major </w:t>
      </w:r>
      <w:r w:rsidR="008B3FA8">
        <w:t>processes are documented and if needed reports and interfaces are included.</w:t>
      </w:r>
      <w:r w:rsidR="001C011C">
        <w:t xml:space="preserve"> </w:t>
      </w:r>
      <w:r w:rsidR="003F5306" w:rsidRPr="00AA0BF8">
        <w:t>Check the box in each process group</w:t>
      </w:r>
      <w:r w:rsidR="00A8531F">
        <w:t>ing</w:t>
      </w:r>
      <w:r w:rsidR="003F5306" w:rsidRPr="00AA0BF8">
        <w:t xml:space="preserve"> </w:t>
      </w:r>
      <w:r w:rsidR="00205743">
        <w:t>if</w:t>
      </w:r>
      <w:r w:rsidR="00103041">
        <w:t xml:space="preserve"> </w:t>
      </w:r>
      <w:r w:rsidR="003F5306" w:rsidRPr="00AA0BF8">
        <w:t xml:space="preserve">your </w:t>
      </w:r>
      <w:r w:rsidR="003F5306">
        <w:t>organization</w:t>
      </w:r>
      <w:r w:rsidR="003F5306" w:rsidRPr="00AA0BF8">
        <w:t xml:space="preserve"> </w:t>
      </w:r>
      <w:r w:rsidR="001E5D07">
        <w:t xml:space="preserve">has no comments related to </w:t>
      </w:r>
      <w:r w:rsidR="003F5306" w:rsidRPr="00AA0BF8">
        <w:t xml:space="preserve">the </w:t>
      </w:r>
      <w:r>
        <w:t>Interim Business Process Models</w:t>
      </w:r>
      <w:r w:rsidR="00205743">
        <w:t>.</w:t>
      </w:r>
    </w:p>
    <w:p w14:paraId="68C9B751" w14:textId="2E3DA9E4" w:rsidR="00594B28" w:rsidRDefault="00205743" w:rsidP="001C011C">
      <w:pPr>
        <w:pStyle w:val="ListParagraph"/>
        <w:numPr>
          <w:ilvl w:val="0"/>
          <w:numId w:val="36"/>
        </w:numPr>
      </w:pPr>
      <w:r>
        <w:t xml:space="preserve">If your organization has feedback, </w:t>
      </w:r>
      <w:r w:rsidR="00594B28">
        <w:t xml:space="preserve">provide general </w:t>
      </w:r>
      <w:r w:rsidR="008B3FA8">
        <w:t>comment</w:t>
      </w:r>
      <w:r w:rsidR="00594B28">
        <w:t>s in the tables below</w:t>
      </w:r>
      <w:r w:rsidR="008B3FA8">
        <w:t xml:space="preserve"> </w:t>
      </w:r>
      <w:r w:rsidR="00EA0CC1">
        <w:t xml:space="preserve">each </w:t>
      </w:r>
      <w:r w:rsidR="00ED1199">
        <w:t>Business Process Grouping</w:t>
      </w:r>
      <w:r w:rsidR="00594B28">
        <w:t>.</w:t>
      </w:r>
    </w:p>
    <w:p w14:paraId="5AEF12FD" w14:textId="62F2C5F1" w:rsidR="00594B28" w:rsidRDefault="00594B28" w:rsidP="001C011C">
      <w:pPr>
        <w:pStyle w:val="ListParagraph"/>
        <w:numPr>
          <w:ilvl w:val="0"/>
          <w:numId w:val="36"/>
        </w:numPr>
      </w:pPr>
      <w:r>
        <w:t xml:space="preserve">If your </w:t>
      </w:r>
      <w:r w:rsidR="006E64A2">
        <w:t>organization</w:t>
      </w:r>
      <w:r>
        <w:t xml:space="preserve"> would like to provide additional feedback </w:t>
      </w:r>
      <w:r w:rsidR="00EA0CC1">
        <w:t>by individual Interim Business Process</w:t>
      </w:r>
      <w:r>
        <w:t>, please use the table</w:t>
      </w:r>
      <w:r w:rsidR="00EA0CC1">
        <w:t xml:space="preserve"> in Appendix A</w:t>
      </w:r>
      <w:r w:rsidR="008B3FA8">
        <w:t>.</w:t>
      </w:r>
    </w:p>
    <w:p w14:paraId="59943008" w14:textId="77777777" w:rsidR="00594B28" w:rsidRDefault="00594B28" w:rsidP="001C011C"/>
    <w:p w14:paraId="0C47EF68" w14:textId="30492E21" w:rsidR="003F5306" w:rsidRPr="00AA0BF8" w:rsidRDefault="00ED1199" w:rsidP="00594B28">
      <w:r>
        <w:t>Please</w:t>
      </w:r>
      <w:r w:rsidRPr="00AA0BF8">
        <w:t xml:space="preserve"> email</w:t>
      </w:r>
      <w:r w:rsidR="00565A35">
        <w:t xml:space="preserve"> the</w:t>
      </w:r>
      <w:r w:rsidRPr="00AA0BF8">
        <w:t xml:space="preserve"> </w:t>
      </w:r>
      <w:r>
        <w:t>completed form to</w:t>
      </w:r>
      <w:r w:rsidRPr="00AA0BF8">
        <w:t xml:space="preserve"> </w:t>
      </w:r>
      <w:hyperlink r:id="rId12" w:history="1">
        <w:r w:rsidRPr="00AA0BF8">
          <w:rPr>
            <w:rStyle w:val="Hyperlink"/>
          </w:rPr>
          <w:t>FloridaPALM@myfloridacfo.com</w:t>
        </w:r>
      </w:hyperlink>
      <w:r w:rsidR="00594B28" w:rsidRPr="00594B28">
        <w:rPr>
          <w:b/>
        </w:rPr>
        <w:t xml:space="preserve"> </w:t>
      </w:r>
      <w:r w:rsidR="00594B28" w:rsidRPr="004E78FF">
        <w:rPr>
          <w:b/>
        </w:rPr>
        <w:t>by</w:t>
      </w:r>
      <w:r w:rsidR="00594B28">
        <w:t xml:space="preserve"> </w:t>
      </w:r>
      <w:r w:rsidR="00594B28" w:rsidRPr="00594B28">
        <w:rPr>
          <w:b/>
        </w:rPr>
        <w:t>December 13, 2019</w:t>
      </w:r>
      <w:r w:rsidRPr="00AA0BF8">
        <w:t xml:space="preserve">. </w:t>
      </w:r>
      <w:r w:rsidR="00594B28" w:rsidRPr="001C011C">
        <w:rPr>
          <w:b/>
        </w:rPr>
        <w:t xml:space="preserve">Note: </w:t>
      </w:r>
      <w:r w:rsidRPr="00594B28">
        <w:rPr>
          <w:b/>
        </w:rPr>
        <w:t>Please submit one</w:t>
      </w:r>
      <w:r w:rsidRPr="001C011C">
        <w:rPr>
          <w:b/>
        </w:rPr>
        <w:t xml:space="preserve"> feedback form per organization</w:t>
      </w:r>
      <w:r w:rsidR="003F5306" w:rsidRPr="00594B28">
        <w:rPr>
          <w:b/>
        </w:rPr>
        <w:t>.</w:t>
      </w:r>
    </w:p>
    <w:p w14:paraId="61AED731" w14:textId="22728059" w:rsidR="004B41D8" w:rsidRPr="00AA0BF8" w:rsidRDefault="008C4BE5" w:rsidP="008C4322">
      <w:pPr>
        <w:pStyle w:val="Heading1"/>
      </w:pPr>
      <w:bookmarkStart w:id="2" w:name="_Agency_Feedback_by"/>
      <w:bookmarkEnd w:id="0"/>
      <w:bookmarkEnd w:id="2"/>
      <w:r>
        <w:t>Organization</w:t>
      </w:r>
      <w:r w:rsidR="008923D2" w:rsidRPr="00AA0BF8">
        <w:t xml:space="preserve"> </w:t>
      </w:r>
      <w:r w:rsidR="00B65328" w:rsidRPr="00AA0BF8">
        <w:t>Feedback</w:t>
      </w:r>
      <w:r w:rsidR="008923D2" w:rsidRPr="00AA0BF8">
        <w:t xml:space="preserve"> by </w:t>
      </w:r>
      <w:r w:rsidR="00244E22">
        <w:t xml:space="preserve">Business </w:t>
      </w:r>
      <w:r w:rsidR="008923D2" w:rsidRPr="00AA0BF8">
        <w:t xml:space="preserve">Process </w:t>
      </w:r>
      <w:r w:rsidR="00B65328" w:rsidRPr="00AA0BF8">
        <w:t>Group</w:t>
      </w:r>
      <w:r w:rsidR="00244E22">
        <w:t>ing</w:t>
      </w:r>
    </w:p>
    <w:p w14:paraId="5DAD045B" w14:textId="77777777" w:rsidR="00950891" w:rsidRPr="00AA0BF8" w:rsidRDefault="00950891" w:rsidP="005749DC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30BC0" w:rsidRPr="00AA0BF8" w14:paraId="0313DDEF" w14:textId="77777777" w:rsidTr="008C4322">
        <w:trPr>
          <w:cantSplit/>
          <w:trHeight w:val="332"/>
          <w:tblHeader/>
        </w:trPr>
        <w:tc>
          <w:tcPr>
            <w:tcW w:w="9350" w:type="dxa"/>
            <w:shd w:val="clear" w:color="auto" w:fill="03304B"/>
            <w:vAlign w:val="center"/>
          </w:tcPr>
          <w:p w14:paraId="0313DDEE" w14:textId="25714658" w:rsidR="00C30BC0" w:rsidRPr="00AA0BF8" w:rsidRDefault="00F51874" w:rsidP="008C4322">
            <w:pPr>
              <w:jc w:val="left"/>
              <w:rPr>
                <w:color w:val="FFFFFF" w:themeColor="background1"/>
              </w:rPr>
            </w:pPr>
            <w:bookmarkStart w:id="3" w:name="_Toc426362230"/>
            <w:bookmarkStart w:id="4" w:name="_Toc426362290"/>
            <w:bookmarkStart w:id="5" w:name="_Toc425156629"/>
            <w:r w:rsidRPr="00AA0BF8">
              <w:rPr>
                <w:color w:val="FFFFFF" w:themeColor="background1"/>
              </w:rPr>
              <w:t xml:space="preserve">Account Management and Financial Reporting </w:t>
            </w:r>
            <w:r w:rsidR="00ED1199">
              <w:rPr>
                <w:color w:val="FFFFFF" w:themeColor="background1"/>
              </w:rPr>
              <w:t xml:space="preserve">Business </w:t>
            </w:r>
            <w:r w:rsidR="00AF3432" w:rsidRPr="00AA0BF8">
              <w:rPr>
                <w:color w:val="FFFFFF" w:themeColor="background1"/>
              </w:rPr>
              <w:t>Process Group</w:t>
            </w:r>
            <w:r w:rsidR="00092058">
              <w:rPr>
                <w:color w:val="FFFFFF" w:themeColor="background1"/>
              </w:rPr>
              <w:t>ing</w:t>
            </w:r>
          </w:p>
        </w:tc>
      </w:tr>
      <w:tr w:rsidR="00FF325B" w:rsidRPr="00AA0BF8" w14:paraId="0313DDF1" w14:textId="77777777" w:rsidTr="008C4322">
        <w:trPr>
          <w:cantSplit/>
          <w:trHeight w:val="188"/>
        </w:trPr>
        <w:tc>
          <w:tcPr>
            <w:tcW w:w="9350" w:type="dxa"/>
          </w:tcPr>
          <w:p w14:paraId="0313DDF0" w14:textId="4BD7E1A9" w:rsidR="003263B4" w:rsidRPr="00AA0BF8" w:rsidRDefault="008A35F7" w:rsidP="008C4322">
            <w:pPr>
              <w:jc w:val="left"/>
            </w:pPr>
            <w:sdt>
              <w:sdtPr>
                <w:id w:val="780072162"/>
              </w:sdtPr>
              <w:sdtEndPr/>
              <w:sdtContent>
                <w:r w:rsidR="00FF325B" w:rsidRPr="00AA0B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F325B" w:rsidRPr="00AA0BF8">
              <w:t xml:space="preserve"> </w:t>
            </w:r>
            <w:r w:rsidR="003263B4" w:rsidRPr="00AA0BF8">
              <w:t xml:space="preserve">Check this box if your </w:t>
            </w:r>
            <w:r w:rsidR="00C647FC">
              <w:t>organization</w:t>
            </w:r>
            <w:r w:rsidR="00103041">
              <w:t xml:space="preserve"> has no comments for this </w:t>
            </w:r>
            <w:r w:rsidR="00ED1199">
              <w:t>Business Process Grouping</w:t>
            </w:r>
            <w:r w:rsidR="00EA0CC1">
              <w:t>.</w:t>
            </w:r>
          </w:p>
        </w:tc>
      </w:tr>
      <w:tr w:rsidR="00C30BC0" w:rsidRPr="00AA0BF8" w14:paraId="0313DDF3" w14:textId="77777777" w:rsidTr="008C4322">
        <w:trPr>
          <w:cantSplit/>
          <w:trHeight w:val="1862"/>
        </w:trPr>
        <w:tc>
          <w:tcPr>
            <w:tcW w:w="9350" w:type="dxa"/>
          </w:tcPr>
          <w:p w14:paraId="0313DDF2" w14:textId="33F8FDF1" w:rsidR="00C30BC0" w:rsidRPr="00AA0BF8" w:rsidRDefault="005749DC" w:rsidP="008C4322">
            <w:pPr>
              <w:jc w:val="left"/>
              <w:rPr>
                <w:i/>
              </w:rPr>
            </w:pPr>
            <w:r w:rsidRPr="00AA0BF8">
              <w:rPr>
                <w:i/>
              </w:rPr>
              <w:t xml:space="preserve">Enter your </w:t>
            </w:r>
            <w:r w:rsidR="00C647FC">
              <w:rPr>
                <w:i/>
              </w:rPr>
              <w:t>organization</w:t>
            </w:r>
            <w:r w:rsidRPr="00AA0BF8">
              <w:rPr>
                <w:i/>
              </w:rPr>
              <w:t>’s feedback</w:t>
            </w:r>
            <w:r w:rsidR="00EA0CC1">
              <w:rPr>
                <w:i/>
              </w:rPr>
              <w:t xml:space="preserve"> </w:t>
            </w:r>
            <w:r w:rsidRPr="00AA0BF8">
              <w:rPr>
                <w:i/>
              </w:rPr>
              <w:t>here</w:t>
            </w:r>
            <w:r w:rsidR="00DF5B61">
              <w:rPr>
                <w:i/>
              </w:rPr>
              <w:t>, if applicable</w:t>
            </w:r>
            <w:r w:rsidRPr="00AA0BF8">
              <w:rPr>
                <w:i/>
              </w:rPr>
              <w:t>.</w:t>
            </w:r>
          </w:p>
        </w:tc>
      </w:tr>
    </w:tbl>
    <w:p w14:paraId="0313DDF4" w14:textId="7B6E9B1D" w:rsidR="00C30BC0" w:rsidRPr="00AA0BF8" w:rsidRDefault="00C30BC0" w:rsidP="00C30BC0">
      <w:pPr>
        <w:jc w:val="lef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3432" w:rsidRPr="00AA0BF8" w14:paraId="6A35CDFF" w14:textId="77777777" w:rsidTr="008C4322">
        <w:trPr>
          <w:cantSplit/>
          <w:trHeight w:val="332"/>
          <w:tblHeader/>
        </w:trPr>
        <w:tc>
          <w:tcPr>
            <w:tcW w:w="9350" w:type="dxa"/>
            <w:shd w:val="clear" w:color="auto" w:fill="03304B"/>
            <w:vAlign w:val="center"/>
          </w:tcPr>
          <w:p w14:paraId="44CC3C65" w14:textId="7232CF74" w:rsidR="00AF3432" w:rsidRPr="00AA0BF8" w:rsidRDefault="00AF3432" w:rsidP="008C4322">
            <w:pPr>
              <w:jc w:val="left"/>
              <w:rPr>
                <w:color w:val="FFFFFF" w:themeColor="background1"/>
              </w:rPr>
            </w:pPr>
            <w:r w:rsidRPr="00AA0BF8">
              <w:rPr>
                <w:color w:val="FFFFFF" w:themeColor="background1"/>
              </w:rPr>
              <w:t>Accounts Receivable</w:t>
            </w:r>
            <w:r w:rsidR="00ED1199">
              <w:rPr>
                <w:color w:val="FFFFFF" w:themeColor="background1"/>
              </w:rPr>
              <w:t xml:space="preserve"> Business </w:t>
            </w:r>
            <w:r w:rsidRPr="00AA0BF8">
              <w:rPr>
                <w:color w:val="FFFFFF" w:themeColor="background1"/>
              </w:rPr>
              <w:t>Process Group</w:t>
            </w:r>
            <w:r w:rsidR="00092058">
              <w:rPr>
                <w:color w:val="FFFFFF" w:themeColor="background1"/>
              </w:rPr>
              <w:t>ing</w:t>
            </w:r>
          </w:p>
        </w:tc>
      </w:tr>
      <w:tr w:rsidR="00AF3432" w:rsidRPr="00AA0BF8" w14:paraId="26A799AD" w14:textId="77777777" w:rsidTr="008C4322">
        <w:trPr>
          <w:cantSplit/>
          <w:trHeight w:val="188"/>
        </w:trPr>
        <w:tc>
          <w:tcPr>
            <w:tcW w:w="9350" w:type="dxa"/>
          </w:tcPr>
          <w:p w14:paraId="2D2CB1A4" w14:textId="1FB92BF4" w:rsidR="00AF3432" w:rsidRPr="00AA0BF8" w:rsidRDefault="008A35F7" w:rsidP="008C4322">
            <w:pPr>
              <w:jc w:val="left"/>
            </w:pPr>
            <w:sdt>
              <w:sdtPr>
                <w:id w:val="1880664505"/>
              </w:sdtPr>
              <w:sdtEndPr/>
              <w:sdtContent>
                <w:r w:rsidR="00AF3432" w:rsidRPr="00AA0B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3432" w:rsidRPr="00AA0BF8">
              <w:t xml:space="preserve"> Check this box if your </w:t>
            </w:r>
            <w:r w:rsidR="00C647FC">
              <w:t>organization</w:t>
            </w:r>
            <w:r w:rsidR="00EA0CC1">
              <w:t xml:space="preserve"> has no comments for this </w:t>
            </w:r>
            <w:r w:rsidR="00ED1199">
              <w:t>Business Process Grouping</w:t>
            </w:r>
            <w:r w:rsidR="00EA0CC1">
              <w:t>.</w:t>
            </w:r>
          </w:p>
        </w:tc>
      </w:tr>
      <w:tr w:rsidR="00AF3432" w:rsidRPr="00AA0BF8" w14:paraId="72C927AA" w14:textId="77777777" w:rsidTr="008C4322">
        <w:trPr>
          <w:cantSplit/>
          <w:trHeight w:val="1862"/>
        </w:trPr>
        <w:tc>
          <w:tcPr>
            <w:tcW w:w="9350" w:type="dxa"/>
          </w:tcPr>
          <w:p w14:paraId="06BF4510" w14:textId="2C075C7E" w:rsidR="00AF3432" w:rsidRPr="00AA0BF8" w:rsidRDefault="005749DC" w:rsidP="008C4322">
            <w:pPr>
              <w:jc w:val="left"/>
            </w:pPr>
            <w:r w:rsidRPr="00AA0BF8">
              <w:rPr>
                <w:i/>
              </w:rPr>
              <w:lastRenderedPageBreak/>
              <w:t xml:space="preserve">Enter your </w:t>
            </w:r>
            <w:r w:rsidR="00C647FC">
              <w:rPr>
                <w:i/>
              </w:rPr>
              <w:t>organization</w:t>
            </w:r>
            <w:r w:rsidRPr="00AA0BF8">
              <w:rPr>
                <w:i/>
              </w:rPr>
              <w:t>’s feedback here</w:t>
            </w:r>
            <w:r w:rsidR="00DF5B61">
              <w:rPr>
                <w:i/>
              </w:rPr>
              <w:t>, if applicable</w:t>
            </w:r>
            <w:r w:rsidRPr="00AA0BF8">
              <w:rPr>
                <w:i/>
              </w:rPr>
              <w:t>.</w:t>
            </w:r>
          </w:p>
        </w:tc>
      </w:tr>
    </w:tbl>
    <w:p w14:paraId="5D419561" w14:textId="0B85A752" w:rsidR="004C26C9" w:rsidRDefault="004C26C9" w:rsidP="00C30BC0">
      <w:pPr>
        <w:jc w:val="lef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3432" w:rsidRPr="00AA0BF8" w14:paraId="7710DB6F" w14:textId="77777777" w:rsidTr="008C4322">
        <w:trPr>
          <w:cantSplit/>
          <w:trHeight w:val="332"/>
          <w:tblHeader/>
        </w:trPr>
        <w:tc>
          <w:tcPr>
            <w:tcW w:w="9350" w:type="dxa"/>
            <w:shd w:val="clear" w:color="auto" w:fill="03304B"/>
            <w:vAlign w:val="center"/>
          </w:tcPr>
          <w:p w14:paraId="02439DFE" w14:textId="1DD7FCAB" w:rsidR="00AF3432" w:rsidRPr="00AA0BF8" w:rsidRDefault="00AF3432" w:rsidP="008C4322">
            <w:pPr>
              <w:jc w:val="left"/>
              <w:rPr>
                <w:color w:val="FFFFFF" w:themeColor="background1"/>
              </w:rPr>
            </w:pPr>
            <w:r w:rsidRPr="00AA0BF8">
              <w:rPr>
                <w:color w:val="FFFFFF" w:themeColor="background1"/>
              </w:rPr>
              <w:t>Asset Accounting and Management</w:t>
            </w:r>
            <w:r w:rsidR="00ED1199">
              <w:rPr>
                <w:color w:val="FFFFFF" w:themeColor="background1"/>
              </w:rPr>
              <w:t xml:space="preserve"> Business </w:t>
            </w:r>
            <w:r w:rsidRPr="00AA0BF8">
              <w:rPr>
                <w:color w:val="FFFFFF" w:themeColor="background1"/>
              </w:rPr>
              <w:t>Process Group</w:t>
            </w:r>
            <w:r w:rsidR="00092058">
              <w:rPr>
                <w:color w:val="FFFFFF" w:themeColor="background1"/>
              </w:rPr>
              <w:t>ing</w:t>
            </w:r>
          </w:p>
        </w:tc>
      </w:tr>
      <w:tr w:rsidR="00AF3432" w:rsidRPr="00AA0BF8" w14:paraId="2A583946" w14:textId="77777777" w:rsidTr="008C4322">
        <w:trPr>
          <w:cantSplit/>
          <w:trHeight w:val="188"/>
          <w:tblHeader/>
        </w:trPr>
        <w:tc>
          <w:tcPr>
            <w:tcW w:w="9350" w:type="dxa"/>
          </w:tcPr>
          <w:p w14:paraId="5CBF1A13" w14:textId="4174AF03" w:rsidR="00AF3432" w:rsidRPr="00AA0BF8" w:rsidRDefault="008A35F7" w:rsidP="008C4322">
            <w:pPr>
              <w:jc w:val="left"/>
            </w:pPr>
            <w:sdt>
              <w:sdtPr>
                <w:id w:val="963466808"/>
              </w:sdtPr>
              <w:sdtEndPr/>
              <w:sdtContent>
                <w:r w:rsidR="00AF3432" w:rsidRPr="00AA0B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3432" w:rsidRPr="00AA0BF8">
              <w:t xml:space="preserve"> Check this box if your </w:t>
            </w:r>
            <w:r w:rsidR="00C647FC">
              <w:t>organization</w:t>
            </w:r>
            <w:r w:rsidR="00EA0CC1">
              <w:t xml:space="preserve"> has no comments for this </w:t>
            </w:r>
            <w:r w:rsidR="00ED1199">
              <w:t>Business Process Grouping</w:t>
            </w:r>
            <w:r w:rsidR="00EA0CC1">
              <w:t>.</w:t>
            </w:r>
          </w:p>
        </w:tc>
      </w:tr>
      <w:tr w:rsidR="00AF3432" w:rsidRPr="00AA0BF8" w14:paraId="4F490218" w14:textId="77777777" w:rsidTr="008C4322">
        <w:trPr>
          <w:cantSplit/>
          <w:trHeight w:val="1862"/>
          <w:tblHeader/>
        </w:trPr>
        <w:tc>
          <w:tcPr>
            <w:tcW w:w="9350" w:type="dxa"/>
          </w:tcPr>
          <w:p w14:paraId="1599FB43" w14:textId="3FFA3393" w:rsidR="00AF3432" w:rsidRPr="00AA0BF8" w:rsidRDefault="005749DC" w:rsidP="008C4322">
            <w:pPr>
              <w:jc w:val="left"/>
            </w:pPr>
            <w:r w:rsidRPr="00AA0BF8">
              <w:rPr>
                <w:i/>
              </w:rPr>
              <w:t xml:space="preserve">Enter your </w:t>
            </w:r>
            <w:r w:rsidR="00C647FC">
              <w:rPr>
                <w:i/>
              </w:rPr>
              <w:t>organization</w:t>
            </w:r>
            <w:r w:rsidRPr="00AA0BF8">
              <w:rPr>
                <w:i/>
              </w:rPr>
              <w:t>’s feedback here</w:t>
            </w:r>
            <w:r w:rsidR="00DF5B61">
              <w:rPr>
                <w:i/>
              </w:rPr>
              <w:t>, if applicable</w:t>
            </w:r>
            <w:r w:rsidRPr="00AA0BF8">
              <w:rPr>
                <w:i/>
              </w:rPr>
              <w:t>.</w:t>
            </w:r>
          </w:p>
        </w:tc>
      </w:tr>
    </w:tbl>
    <w:p w14:paraId="6D7DD8F5" w14:textId="3EE23ADF" w:rsidR="00F51874" w:rsidRPr="00AA0BF8" w:rsidRDefault="00F51874" w:rsidP="00C30BC0">
      <w:pPr>
        <w:jc w:val="lef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3432" w:rsidRPr="00AA0BF8" w14:paraId="49F63006" w14:textId="77777777" w:rsidTr="008C4322">
        <w:trPr>
          <w:cantSplit/>
          <w:trHeight w:val="332"/>
          <w:tblHeader/>
        </w:trPr>
        <w:tc>
          <w:tcPr>
            <w:tcW w:w="9350" w:type="dxa"/>
            <w:shd w:val="clear" w:color="auto" w:fill="03304B"/>
            <w:vAlign w:val="center"/>
          </w:tcPr>
          <w:p w14:paraId="2A48E7ED" w14:textId="2CF2C199" w:rsidR="00AF3432" w:rsidRPr="00AA0BF8" w:rsidRDefault="00AF3432" w:rsidP="008C4322">
            <w:pPr>
              <w:jc w:val="left"/>
              <w:rPr>
                <w:color w:val="FFFFFF" w:themeColor="background1"/>
              </w:rPr>
            </w:pPr>
            <w:r w:rsidRPr="00AA0BF8">
              <w:rPr>
                <w:color w:val="FFFFFF" w:themeColor="background1"/>
              </w:rPr>
              <w:t xml:space="preserve">Budget Management </w:t>
            </w:r>
            <w:r w:rsidR="00ED1199">
              <w:rPr>
                <w:color w:val="FFFFFF" w:themeColor="background1"/>
              </w:rPr>
              <w:t xml:space="preserve">Business </w:t>
            </w:r>
            <w:r w:rsidRPr="00AA0BF8">
              <w:rPr>
                <w:color w:val="FFFFFF" w:themeColor="background1"/>
              </w:rPr>
              <w:t>Process Group</w:t>
            </w:r>
            <w:r w:rsidR="00092058">
              <w:rPr>
                <w:color w:val="FFFFFF" w:themeColor="background1"/>
              </w:rPr>
              <w:t>ing</w:t>
            </w:r>
          </w:p>
        </w:tc>
      </w:tr>
      <w:tr w:rsidR="00AF3432" w:rsidRPr="00AA0BF8" w14:paraId="1CA878A1" w14:textId="77777777" w:rsidTr="008C4322">
        <w:trPr>
          <w:cantSplit/>
          <w:trHeight w:val="188"/>
        </w:trPr>
        <w:tc>
          <w:tcPr>
            <w:tcW w:w="9350" w:type="dxa"/>
          </w:tcPr>
          <w:p w14:paraId="049D2BDD" w14:textId="09B5212A" w:rsidR="00AF3432" w:rsidRPr="00AA0BF8" w:rsidRDefault="008A35F7" w:rsidP="008C4322">
            <w:pPr>
              <w:jc w:val="left"/>
            </w:pPr>
            <w:sdt>
              <w:sdtPr>
                <w:id w:val="17976937"/>
              </w:sdtPr>
              <w:sdtEndPr/>
              <w:sdtContent>
                <w:r w:rsidR="00AF3432" w:rsidRPr="00AA0B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3432" w:rsidRPr="00AA0BF8">
              <w:t xml:space="preserve"> Check this box if your </w:t>
            </w:r>
            <w:r w:rsidR="00C647FC">
              <w:t>organization</w:t>
            </w:r>
            <w:r w:rsidR="00EA0CC1">
              <w:t xml:space="preserve"> has no comments for this </w:t>
            </w:r>
            <w:r w:rsidR="00ED1199">
              <w:t>Business Process Grouping</w:t>
            </w:r>
            <w:r w:rsidR="00EA0CC1">
              <w:t>.</w:t>
            </w:r>
          </w:p>
        </w:tc>
      </w:tr>
      <w:tr w:rsidR="00AF3432" w:rsidRPr="00AA0BF8" w14:paraId="5CB37B7F" w14:textId="77777777" w:rsidTr="008C4322">
        <w:trPr>
          <w:cantSplit/>
          <w:trHeight w:val="1862"/>
        </w:trPr>
        <w:tc>
          <w:tcPr>
            <w:tcW w:w="9350" w:type="dxa"/>
          </w:tcPr>
          <w:p w14:paraId="06288CF0" w14:textId="77571BD0" w:rsidR="00AF3432" w:rsidRPr="00AA0BF8" w:rsidRDefault="005749DC" w:rsidP="008C4322">
            <w:pPr>
              <w:jc w:val="left"/>
            </w:pPr>
            <w:r w:rsidRPr="00AA0BF8">
              <w:rPr>
                <w:i/>
              </w:rPr>
              <w:t xml:space="preserve">Enter your </w:t>
            </w:r>
            <w:r w:rsidR="00C647FC">
              <w:rPr>
                <w:i/>
              </w:rPr>
              <w:t>organization</w:t>
            </w:r>
            <w:r w:rsidRPr="00AA0BF8">
              <w:rPr>
                <w:i/>
              </w:rPr>
              <w:t>’s feedback here</w:t>
            </w:r>
            <w:r w:rsidR="00DF5B61">
              <w:rPr>
                <w:i/>
              </w:rPr>
              <w:t>, if applicable</w:t>
            </w:r>
            <w:r w:rsidRPr="00AA0BF8">
              <w:rPr>
                <w:i/>
              </w:rPr>
              <w:t>.</w:t>
            </w:r>
          </w:p>
        </w:tc>
      </w:tr>
    </w:tbl>
    <w:p w14:paraId="07F942EC" w14:textId="6C95ACB2" w:rsidR="00AF3432" w:rsidRPr="00AA0BF8" w:rsidRDefault="00AF3432" w:rsidP="00C30BC0">
      <w:pPr>
        <w:jc w:val="lef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3432" w:rsidRPr="00AA0BF8" w14:paraId="62093793" w14:textId="77777777" w:rsidTr="008C4322">
        <w:trPr>
          <w:cantSplit/>
          <w:trHeight w:val="332"/>
          <w:tblHeader/>
        </w:trPr>
        <w:tc>
          <w:tcPr>
            <w:tcW w:w="9350" w:type="dxa"/>
            <w:shd w:val="clear" w:color="auto" w:fill="03304B"/>
            <w:vAlign w:val="center"/>
          </w:tcPr>
          <w:p w14:paraId="147B877B" w14:textId="7648D2A0" w:rsidR="00AF3432" w:rsidRPr="00AA0BF8" w:rsidRDefault="00AF3432" w:rsidP="008C4322">
            <w:pPr>
              <w:jc w:val="left"/>
              <w:rPr>
                <w:color w:val="FFFFFF" w:themeColor="background1"/>
              </w:rPr>
            </w:pPr>
            <w:r w:rsidRPr="00AA0BF8">
              <w:rPr>
                <w:color w:val="FFFFFF" w:themeColor="background1"/>
              </w:rPr>
              <w:t xml:space="preserve">Cash Management </w:t>
            </w:r>
            <w:r w:rsidR="00ED1199">
              <w:rPr>
                <w:color w:val="FFFFFF" w:themeColor="background1"/>
              </w:rPr>
              <w:t xml:space="preserve">Business </w:t>
            </w:r>
            <w:r w:rsidRPr="00AA0BF8">
              <w:rPr>
                <w:color w:val="FFFFFF" w:themeColor="background1"/>
              </w:rPr>
              <w:t>Process Group</w:t>
            </w:r>
            <w:r w:rsidR="00092058">
              <w:rPr>
                <w:color w:val="FFFFFF" w:themeColor="background1"/>
              </w:rPr>
              <w:t>ing</w:t>
            </w:r>
          </w:p>
        </w:tc>
      </w:tr>
      <w:tr w:rsidR="00AF3432" w:rsidRPr="00AA0BF8" w14:paraId="7432C5DD" w14:textId="77777777" w:rsidTr="008C4322">
        <w:trPr>
          <w:cantSplit/>
          <w:trHeight w:val="188"/>
        </w:trPr>
        <w:tc>
          <w:tcPr>
            <w:tcW w:w="9350" w:type="dxa"/>
          </w:tcPr>
          <w:p w14:paraId="16A5DD98" w14:textId="0C2B05FC" w:rsidR="00AF3432" w:rsidRPr="00AA0BF8" w:rsidRDefault="008A35F7" w:rsidP="008C4322">
            <w:pPr>
              <w:jc w:val="left"/>
            </w:pPr>
            <w:sdt>
              <w:sdtPr>
                <w:id w:val="-483552916"/>
              </w:sdtPr>
              <w:sdtEndPr/>
              <w:sdtContent>
                <w:r w:rsidR="00AF3432" w:rsidRPr="00AA0B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3432" w:rsidRPr="00AA0BF8">
              <w:t xml:space="preserve"> Check this box if your </w:t>
            </w:r>
            <w:r w:rsidR="00C647FC">
              <w:t>organization</w:t>
            </w:r>
            <w:r w:rsidR="00AF3432" w:rsidRPr="00AA0BF8">
              <w:t xml:space="preserve"> </w:t>
            </w:r>
            <w:r w:rsidR="00EA0CC1">
              <w:t xml:space="preserve">has no comments for this </w:t>
            </w:r>
            <w:r w:rsidR="00ED1199">
              <w:t>Business Process Grouping</w:t>
            </w:r>
            <w:r w:rsidR="00EA0CC1">
              <w:t>.</w:t>
            </w:r>
          </w:p>
        </w:tc>
      </w:tr>
      <w:tr w:rsidR="00AF3432" w:rsidRPr="00AA0BF8" w14:paraId="05F29C8A" w14:textId="77777777" w:rsidTr="008C4322">
        <w:trPr>
          <w:cantSplit/>
          <w:trHeight w:val="1862"/>
        </w:trPr>
        <w:tc>
          <w:tcPr>
            <w:tcW w:w="9350" w:type="dxa"/>
          </w:tcPr>
          <w:p w14:paraId="5ADDB196" w14:textId="420534F9" w:rsidR="00AF3432" w:rsidRPr="00AA0BF8" w:rsidRDefault="005749DC" w:rsidP="008C4322">
            <w:pPr>
              <w:jc w:val="left"/>
            </w:pPr>
            <w:r w:rsidRPr="00AA0BF8">
              <w:rPr>
                <w:i/>
              </w:rPr>
              <w:t xml:space="preserve">Enter your </w:t>
            </w:r>
            <w:r w:rsidR="00C647FC">
              <w:rPr>
                <w:i/>
              </w:rPr>
              <w:t>organization</w:t>
            </w:r>
            <w:r w:rsidRPr="00AA0BF8">
              <w:rPr>
                <w:i/>
              </w:rPr>
              <w:t>’s feedback here</w:t>
            </w:r>
            <w:r w:rsidR="00DF5B61">
              <w:rPr>
                <w:i/>
              </w:rPr>
              <w:t>, if applicable</w:t>
            </w:r>
            <w:r w:rsidRPr="00AA0BF8">
              <w:rPr>
                <w:i/>
              </w:rPr>
              <w:t>.</w:t>
            </w:r>
          </w:p>
        </w:tc>
      </w:tr>
    </w:tbl>
    <w:p w14:paraId="450F28A4" w14:textId="476C13D4" w:rsidR="00AF3432" w:rsidRPr="00AA0BF8" w:rsidRDefault="00AF3432" w:rsidP="00C30BC0">
      <w:pPr>
        <w:jc w:val="left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3432" w:rsidRPr="00AA0BF8" w14:paraId="2B92CFAA" w14:textId="77777777" w:rsidTr="008C4322">
        <w:trPr>
          <w:cantSplit/>
          <w:trHeight w:val="332"/>
          <w:tblHeader/>
        </w:trPr>
        <w:tc>
          <w:tcPr>
            <w:tcW w:w="9350" w:type="dxa"/>
            <w:shd w:val="clear" w:color="auto" w:fill="03304B"/>
            <w:vAlign w:val="center"/>
          </w:tcPr>
          <w:p w14:paraId="30AB02AF" w14:textId="09DD265B" w:rsidR="00AF3432" w:rsidRPr="00AA0BF8" w:rsidRDefault="00AF3432" w:rsidP="008C4322">
            <w:pPr>
              <w:jc w:val="left"/>
              <w:rPr>
                <w:color w:val="FFFFFF" w:themeColor="background1"/>
              </w:rPr>
            </w:pPr>
            <w:r w:rsidRPr="00AA0BF8">
              <w:rPr>
                <w:color w:val="FFFFFF" w:themeColor="background1"/>
              </w:rPr>
              <w:t xml:space="preserve">Disbursements Management </w:t>
            </w:r>
            <w:r w:rsidR="00ED1199">
              <w:rPr>
                <w:color w:val="FFFFFF" w:themeColor="background1"/>
              </w:rPr>
              <w:t xml:space="preserve">Business </w:t>
            </w:r>
            <w:r w:rsidRPr="00AA0BF8">
              <w:rPr>
                <w:color w:val="FFFFFF" w:themeColor="background1"/>
              </w:rPr>
              <w:t>Process Group</w:t>
            </w:r>
            <w:r w:rsidR="00092058">
              <w:rPr>
                <w:color w:val="FFFFFF" w:themeColor="background1"/>
              </w:rPr>
              <w:t>ing</w:t>
            </w:r>
          </w:p>
        </w:tc>
      </w:tr>
      <w:tr w:rsidR="00AF3432" w:rsidRPr="00AA0BF8" w14:paraId="2E157FD2" w14:textId="77777777" w:rsidTr="008C4322">
        <w:trPr>
          <w:cantSplit/>
          <w:trHeight w:val="188"/>
        </w:trPr>
        <w:tc>
          <w:tcPr>
            <w:tcW w:w="9350" w:type="dxa"/>
          </w:tcPr>
          <w:p w14:paraId="3A35694D" w14:textId="3EFFACD1" w:rsidR="00AF3432" w:rsidRPr="00AA0BF8" w:rsidRDefault="008A35F7" w:rsidP="008C4322">
            <w:pPr>
              <w:jc w:val="left"/>
            </w:pPr>
            <w:sdt>
              <w:sdtPr>
                <w:id w:val="1205829242"/>
              </w:sdtPr>
              <w:sdtEndPr/>
              <w:sdtContent>
                <w:r w:rsidR="00AF3432" w:rsidRPr="00AA0B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3432" w:rsidRPr="00AA0BF8">
              <w:t xml:space="preserve"> Check this box if your </w:t>
            </w:r>
            <w:r w:rsidR="00C647FC">
              <w:t>organization</w:t>
            </w:r>
            <w:r w:rsidR="00EA0CC1">
              <w:t xml:space="preserve"> has no comments for this </w:t>
            </w:r>
            <w:r w:rsidR="00ED1199">
              <w:t>Business Process Grouping</w:t>
            </w:r>
            <w:r w:rsidR="00EA0CC1">
              <w:t>.</w:t>
            </w:r>
          </w:p>
        </w:tc>
      </w:tr>
      <w:tr w:rsidR="00AF3432" w:rsidRPr="00AA0BF8" w14:paraId="5CECE54E" w14:textId="77777777" w:rsidTr="008C4322">
        <w:trPr>
          <w:cantSplit/>
          <w:trHeight w:val="1862"/>
        </w:trPr>
        <w:tc>
          <w:tcPr>
            <w:tcW w:w="9350" w:type="dxa"/>
          </w:tcPr>
          <w:p w14:paraId="09D574C2" w14:textId="15CD6F5D" w:rsidR="00AF3432" w:rsidRPr="00AA0BF8" w:rsidRDefault="005749DC" w:rsidP="008C4322">
            <w:pPr>
              <w:jc w:val="left"/>
            </w:pPr>
            <w:r w:rsidRPr="00AA0BF8">
              <w:rPr>
                <w:i/>
              </w:rPr>
              <w:lastRenderedPageBreak/>
              <w:t xml:space="preserve">Enter your </w:t>
            </w:r>
            <w:r w:rsidR="00C647FC">
              <w:rPr>
                <w:i/>
              </w:rPr>
              <w:t>organization</w:t>
            </w:r>
            <w:r w:rsidRPr="00AA0BF8">
              <w:rPr>
                <w:i/>
              </w:rPr>
              <w:t>’s feedback here</w:t>
            </w:r>
            <w:r w:rsidR="00DF5B61">
              <w:rPr>
                <w:i/>
              </w:rPr>
              <w:t>, if applicable</w:t>
            </w:r>
            <w:r w:rsidRPr="00AA0BF8">
              <w:rPr>
                <w:i/>
              </w:rPr>
              <w:t>.</w:t>
            </w:r>
          </w:p>
        </w:tc>
      </w:tr>
    </w:tbl>
    <w:p w14:paraId="1841809D" w14:textId="0725CF56" w:rsidR="00AF3432" w:rsidRPr="00AA0BF8" w:rsidRDefault="00AF3432" w:rsidP="00C30BC0">
      <w:pPr>
        <w:jc w:val="left"/>
      </w:pPr>
    </w:p>
    <w:p w14:paraId="24886A68" w14:textId="2B919FAD" w:rsidR="00AF3432" w:rsidRPr="00AA0BF8" w:rsidRDefault="00AF3432" w:rsidP="00C30BC0">
      <w:pPr>
        <w:jc w:val="left"/>
      </w:pPr>
    </w:p>
    <w:p w14:paraId="0B4D07F1" w14:textId="4E702CFB" w:rsidR="00AF3432" w:rsidRPr="00AA0BF8" w:rsidRDefault="00AF3432" w:rsidP="00E550DF">
      <w:pPr>
        <w:rPr>
          <w:i/>
        </w:rPr>
      </w:pPr>
      <w:bookmarkStart w:id="6" w:name="_Appendix_A_–"/>
      <w:bookmarkEnd w:id="3"/>
      <w:bookmarkEnd w:id="4"/>
      <w:bookmarkEnd w:id="5"/>
      <w:bookmarkEnd w:id="6"/>
      <w:r w:rsidRPr="00AA0BF8">
        <w:br w:type="page"/>
      </w:r>
    </w:p>
    <w:p w14:paraId="3BD51415" w14:textId="7FBAE192" w:rsidR="009E2913" w:rsidRPr="00AA0BF8" w:rsidRDefault="009E2913" w:rsidP="00D05836">
      <w:pPr>
        <w:pStyle w:val="Heading1"/>
      </w:pPr>
      <w:bookmarkStart w:id="7" w:name="_Reading_the_Business"/>
      <w:bookmarkStart w:id="8" w:name="_Appendix_B_–"/>
      <w:bookmarkEnd w:id="7"/>
      <w:bookmarkEnd w:id="8"/>
      <w:r w:rsidRPr="00AA0BF8">
        <w:lastRenderedPageBreak/>
        <w:t xml:space="preserve">Appendix </w:t>
      </w:r>
      <w:r w:rsidR="007F2952">
        <w:t>A</w:t>
      </w:r>
      <w:r w:rsidRPr="00AA0BF8">
        <w:t xml:space="preserve"> – </w:t>
      </w:r>
      <w:r w:rsidR="00E36469">
        <w:t>Feedback by</w:t>
      </w:r>
      <w:r w:rsidRPr="00AA0BF8">
        <w:t xml:space="preserve"> </w:t>
      </w:r>
      <w:r w:rsidR="00EA0CC1">
        <w:t xml:space="preserve">Interim </w:t>
      </w:r>
      <w:r w:rsidRPr="00AA0BF8">
        <w:t>Business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1"/>
        <w:gridCol w:w="7079"/>
      </w:tblGrid>
      <w:tr w:rsidR="00E9531C" w:rsidRPr="00AA0BF8" w14:paraId="1C70CDE1" w14:textId="743A825E" w:rsidTr="008C4322">
        <w:trPr>
          <w:trHeight w:val="332"/>
          <w:tblHeader/>
        </w:trPr>
        <w:tc>
          <w:tcPr>
            <w:tcW w:w="2271" w:type="dxa"/>
            <w:shd w:val="clear" w:color="auto" w:fill="03304B"/>
            <w:vAlign w:val="center"/>
          </w:tcPr>
          <w:p w14:paraId="7C8F31A7" w14:textId="46088F68" w:rsidR="00E9531C" w:rsidRPr="00AA0BF8" w:rsidRDefault="00DA377D" w:rsidP="00E70BD4">
            <w:pPr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Interim </w:t>
            </w:r>
            <w:r w:rsidR="00E9531C" w:rsidRPr="00AA0BF8">
              <w:rPr>
                <w:color w:val="FFFFFF" w:themeColor="background1"/>
              </w:rPr>
              <w:t>Business Process</w:t>
            </w:r>
            <w:r w:rsidR="00D17FF8" w:rsidRPr="00AA0BF8">
              <w:rPr>
                <w:color w:val="FFFFFF" w:themeColor="background1"/>
              </w:rPr>
              <w:t>:</w:t>
            </w:r>
          </w:p>
        </w:tc>
        <w:tc>
          <w:tcPr>
            <w:tcW w:w="7079" w:type="dxa"/>
            <w:shd w:val="clear" w:color="auto" w:fill="03304B"/>
            <w:vAlign w:val="center"/>
          </w:tcPr>
          <w:p w14:paraId="03A84065" w14:textId="5E450E70" w:rsidR="00E9531C" w:rsidRPr="00AA0BF8" w:rsidRDefault="00DF5B61" w:rsidP="00D706E6">
            <w:pPr>
              <w:jc w:val="lef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Additional</w:t>
            </w:r>
            <w:r w:rsidRPr="00AA0BF8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 xml:space="preserve">Feedback </w:t>
            </w:r>
            <w:r w:rsidR="0058429B">
              <w:rPr>
                <w:color w:val="FFFFFF" w:themeColor="background1"/>
              </w:rPr>
              <w:t>by Business Process</w:t>
            </w:r>
            <w:r w:rsidR="0042695B">
              <w:rPr>
                <w:color w:val="FFFFFF" w:themeColor="background1"/>
              </w:rPr>
              <w:t xml:space="preserve"> (Optional)</w:t>
            </w:r>
            <w:r w:rsidR="00D17FF8" w:rsidRPr="00AA0BF8">
              <w:rPr>
                <w:color w:val="FFFFFF" w:themeColor="background1"/>
              </w:rPr>
              <w:t>:</w:t>
            </w:r>
          </w:p>
        </w:tc>
      </w:tr>
      <w:tr w:rsidR="00E9531C" w:rsidRPr="00AA0BF8" w14:paraId="7530BCA6" w14:textId="77777777" w:rsidTr="00E9531C">
        <w:trPr>
          <w:trHeight w:val="188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0C069FE5" w14:textId="4476D15F" w:rsidR="00E9531C" w:rsidRPr="00AA0BF8" w:rsidRDefault="00E9531C" w:rsidP="00E70BD4">
            <w:pPr>
              <w:jc w:val="left"/>
            </w:pPr>
            <w:r w:rsidRPr="00AA0BF8">
              <w:t>Account Management and Financial Reporting Process Group</w:t>
            </w:r>
            <w:r w:rsidR="00796A0C">
              <w:t>ing</w:t>
            </w:r>
          </w:p>
        </w:tc>
      </w:tr>
      <w:tr w:rsidR="00E9531C" w:rsidRPr="00AA0BF8" w14:paraId="6F395294" w14:textId="68BB1A10" w:rsidTr="008C4322">
        <w:trPr>
          <w:trHeight w:val="188"/>
        </w:trPr>
        <w:tc>
          <w:tcPr>
            <w:tcW w:w="2271" w:type="dxa"/>
          </w:tcPr>
          <w:p w14:paraId="2E96EE1B" w14:textId="62E97129" w:rsidR="00E9531C" w:rsidRPr="00AA0BF8" w:rsidRDefault="00DA377D" w:rsidP="00E70BD4">
            <w:pPr>
              <w:jc w:val="left"/>
            </w:pPr>
            <w:r w:rsidRPr="00DA377D">
              <w:t>I.10.1 Establish Statewide Values</w:t>
            </w:r>
          </w:p>
        </w:tc>
        <w:tc>
          <w:tcPr>
            <w:tcW w:w="7079" w:type="dxa"/>
          </w:tcPr>
          <w:p w14:paraId="6CE3BA91" w14:textId="77777777" w:rsidR="00E9531C" w:rsidRPr="00AA0BF8" w:rsidRDefault="00E9531C" w:rsidP="00E70BD4">
            <w:pPr>
              <w:jc w:val="left"/>
            </w:pPr>
          </w:p>
        </w:tc>
      </w:tr>
      <w:tr w:rsidR="00E9531C" w:rsidRPr="00AA0BF8" w14:paraId="02190385" w14:textId="777935F2" w:rsidTr="008C4322">
        <w:trPr>
          <w:trHeight w:val="197"/>
        </w:trPr>
        <w:tc>
          <w:tcPr>
            <w:tcW w:w="2271" w:type="dxa"/>
          </w:tcPr>
          <w:p w14:paraId="0521F0A1" w14:textId="30A70D3C" w:rsidR="00E9531C" w:rsidRPr="00AA0BF8" w:rsidRDefault="00DA377D" w:rsidP="00E70BD4">
            <w:pPr>
              <w:jc w:val="left"/>
            </w:pPr>
            <w:r w:rsidRPr="00DA377D">
              <w:t>I.10.2 Enter and Process Inter/Intraunit Journals</w:t>
            </w:r>
          </w:p>
        </w:tc>
        <w:tc>
          <w:tcPr>
            <w:tcW w:w="7079" w:type="dxa"/>
          </w:tcPr>
          <w:p w14:paraId="00178D10" w14:textId="77777777" w:rsidR="00E9531C" w:rsidRPr="00AA0BF8" w:rsidRDefault="00E9531C" w:rsidP="00E70BD4">
            <w:pPr>
              <w:jc w:val="left"/>
            </w:pPr>
          </w:p>
        </w:tc>
      </w:tr>
      <w:tr w:rsidR="00E9531C" w:rsidRPr="00AA0BF8" w14:paraId="4BF2BFDD" w14:textId="77777777" w:rsidTr="008C4322">
        <w:trPr>
          <w:trHeight w:val="197"/>
        </w:trPr>
        <w:tc>
          <w:tcPr>
            <w:tcW w:w="2271" w:type="dxa"/>
          </w:tcPr>
          <w:p w14:paraId="3515A5E7" w14:textId="13B39163" w:rsidR="00E9531C" w:rsidRPr="00AA0BF8" w:rsidRDefault="00DA377D" w:rsidP="00E70BD4">
            <w:pPr>
              <w:jc w:val="left"/>
            </w:pPr>
            <w:r w:rsidRPr="00DA377D">
              <w:t>I.10.3 Analyze, Reconcile and Close Accounts</w:t>
            </w:r>
          </w:p>
        </w:tc>
        <w:tc>
          <w:tcPr>
            <w:tcW w:w="7079" w:type="dxa"/>
          </w:tcPr>
          <w:p w14:paraId="1A8A6FE1" w14:textId="77777777" w:rsidR="00E9531C" w:rsidRPr="00AA0BF8" w:rsidRDefault="00E9531C" w:rsidP="00E70BD4">
            <w:pPr>
              <w:jc w:val="left"/>
            </w:pPr>
          </w:p>
        </w:tc>
      </w:tr>
      <w:tr w:rsidR="00E9531C" w:rsidRPr="00AA0BF8" w14:paraId="0DD32A89" w14:textId="77777777" w:rsidTr="00E70BD4">
        <w:trPr>
          <w:trHeight w:val="197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0E166FFE" w14:textId="7349A483" w:rsidR="00E9531C" w:rsidRPr="00AA0BF8" w:rsidRDefault="00E9531C" w:rsidP="00E70BD4">
            <w:pPr>
              <w:jc w:val="left"/>
            </w:pPr>
            <w:r w:rsidRPr="00AA0BF8">
              <w:t>Accounts Receivable Process Group</w:t>
            </w:r>
            <w:r w:rsidR="00796A0C">
              <w:t>ing</w:t>
            </w:r>
          </w:p>
        </w:tc>
      </w:tr>
      <w:tr w:rsidR="00E9531C" w:rsidRPr="00AA0BF8" w14:paraId="7CBB4DD0" w14:textId="77777777" w:rsidTr="008C4322">
        <w:trPr>
          <w:trHeight w:val="197"/>
        </w:trPr>
        <w:tc>
          <w:tcPr>
            <w:tcW w:w="2271" w:type="dxa"/>
          </w:tcPr>
          <w:p w14:paraId="2C0562F5" w14:textId="6ADD4D97" w:rsidR="00E9531C" w:rsidRPr="00AA0BF8" w:rsidRDefault="00DA377D" w:rsidP="00E70BD4">
            <w:pPr>
              <w:jc w:val="left"/>
            </w:pPr>
            <w:r w:rsidRPr="00DA377D">
              <w:t>I.60.2.A Deposits and Bank Reconciliation</w:t>
            </w:r>
          </w:p>
        </w:tc>
        <w:tc>
          <w:tcPr>
            <w:tcW w:w="7079" w:type="dxa"/>
          </w:tcPr>
          <w:p w14:paraId="65B21ACE" w14:textId="77777777" w:rsidR="00E9531C" w:rsidRPr="00AA0BF8" w:rsidRDefault="00E9531C" w:rsidP="00E70BD4">
            <w:pPr>
              <w:jc w:val="left"/>
            </w:pPr>
          </w:p>
        </w:tc>
      </w:tr>
      <w:tr w:rsidR="00E9531C" w:rsidRPr="00AA0BF8" w14:paraId="5F34667D" w14:textId="77777777" w:rsidTr="008C4322">
        <w:trPr>
          <w:trHeight w:val="197"/>
        </w:trPr>
        <w:tc>
          <w:tcPr>
            <w:tcW w:w="2271" w:type="dxa"/>
          </w:tcPr>
          <w:p w14:paraId="529507F2" w14:textId="7D0288E2" w:rsidR="00E9531C" w:rsidRPr="00AA0BF8" w:rsidRDefault="00DA377D" w:rsidP="00E70BD4">
            <w:pPr>
              <w:jc w:val="left"/>
            </w:pPr>
            <w:r w:rsidRPr="00DA377D">
              <w:t>I.60.2.B Returned Items</w:t>
            </w:r>
          </w:p>
        </w:tc>
        <w:tc>
          <w:tcPr>
            <w:tcW w:w="7079" w:type="dxa"/>
          </w:tcPr>
          <w:p w14:paraId="3A5EBAE3" w14:textId="77777777" w:rsidR="00E9531C" w:rsidRPr="00AA0BF8" w:rsidRDefault="00E9531C" w:rsidP="00E70BD4">
            <w:pPr>
              <w:jc w:val="left"/>
            </w:pPr>
          </w:p>
        </w:tc>
      </w:tr>
      <w:tr w:rsidR="00E9531C" w:rsidRPr="00AA0BF8" w14:paraId="769DCC40" w14:textId="77777777" w:rsidTr="008C4322">
        <w:trPr>
          <w:trHeight w:val="197"/>
        </w:trPr>
        <w:tc>
          <w:tcPr>
            <w:tcW w:w="2271" w:type="dxa"/>
          </w:tcPr>
          <w:p w14:paraId="322D52B6" w14:textId="649D9BCE" w:rsidR="00E9531C" w:rsidRPr="00AA0BF8" w:rsidRDefault="00DA377D" w:rsidP="00E70BD4">
            <w:pPr>
              <w:jc w:val="left"/>
            </w:pPr>
            <w:r w:rsidRPr="00DA377D">
              <w:t>I.60.2.C Wave Revenue Reclass</w:t>
            </w:r>
            <w:r w:rsidRPr="00DA377D" w:rsidDel="00DA377D">
              <w:t xml:space="preserve"> </w:t>
            </w:r>
          </w:p>
        </w:tc>
        <w:tc>
          <w:tcPr>
            <w:tcW w:w="7079" w:type="dxa"/>
          </w:tcPr>
          <w:p w14:paraId="0FCAEAC9" w14:textId="77777777" w:rsidR="00E9531C" w:rsidRPr="00AA0BF8" w:rsidRDefault="00E9531C" w:rsidP="00E70BD4">
            <w:pPr>
              <w:jc w:val="left"/>
            </w:pPr>
          </w:p>
        </w:tc>
      </w:tr>
      <w:tr w:rsidR="00E9531C" w:rsidRPr="00AA0BF8" w14:paraId="26E832DF" w14:textId="77777777" w:rsidTr="00E9531C">
        <w:trPr>
          <w:trHeight w:val="197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55F158CA" w14:textId="3E6E4265" w:rsidR="00E9531C" w:rsidRPr="00AA0BF8" w:rsidRDefault="00E9531C" w:rsidP="00E70BD4">
            <w:pPr>
              <w:jc w:val="left"/>
            </w:pPr>
            <w:r w:rsidRPr="00AA0BF8">
              <w:t>Asset Accounting and Management Process Group</w:t>
            </w:r>
            <w:r w:rsidR="00796A0C">
              <w:t>ing</w:t>
            </w:r>
          </w:p>
        </w:tc>
      </w:tr>
      <w:tr w:rsidR="00E9531C" w:rsidRPr="00AA0BF8" w14:paraId="1E9A41C8" w14:textId="77777777" w:rsidTr="008C4322">
        <w:trPr>
          <w:trHeight w:val="197"/>
        </w:trPr>
        <w:tc>
          <w:tcPr>
            <w:tcW w:w="2271" w:type="dxa"/>
          </w:tcPr>
          <w:p w14:paraId="5157727C" w14:textId="6CDF9702" w:rsidR="00E9531C" w:rsidRPr="00AA0BF8" w:rsidRDefault="00DA377D" w:rsidP="00E70BD4">
            <w:pPr>
              <w:jc w:val="left"/>
            </w:pPr>
            <w:r w:rsidRPr="00DA377D">
              <w:t>I.40.2 Asset Transfers</w:t>
            </w:r>
          </w:p>
        </w:tc>
        <w:tc>
          <w:tcPr>
            <w:tcW w:w="7079" w:type="dxa"/>
          </w:tcPr>
          <w:p w14:paraId="22CFF297" w14:textId="77777777" w:rsidR="00E9531C" w:rsidRPr="00AA0BF8" w:rsidRDefault="00E9531C" w:rsidP="00E70BD4">
            <w:pPr>
              <w:jc w:val="left"/>
            </w:pPr>
          </w:p>
        </w:tc>
      </w:tr>
      <w:tr w:rsidR="00E9531C" w:rsidRPr="00AA0BF8" w14:paraId="6D141B64" w14:textId="77777777" w:rsidTr="008C4322">
        <w:trPr>
          <w:trHeight w:val="197"/>
        </w:trPr>
        <w:tc>
          <w:tcPr>
            <w:tcW w:w="2271" w:type="dxa"/>
          </w:tcPr>
          <w:p w14:paraId="63A84496" w14:textId="58B129A7" w:rsidR="00E9531C" w:rsidRPr="00AA0BF8" w:rsidRDefault="00DA377D" w:rsidP="00E70BD4">
            <w:pPr>
              <w:jc w:val="left"/>
            </w:pPr>
            <w:r w:rsidRPr="00DA377D">
              <w:t>I.40.4 Asset Management Period Close</w:t>
            </w:r>
          </w:p>
        </w:tc>
        <w:tc>
          <w:tcPr>
            <w:tcW w:w="7079" w:type="dxa"/>
          </w:tcPr>
          <w:p w14:paraId="495C1811" w14:textId="77777777" w:rsidR="00E9531C" w:rsidRPr="00AA0BF8" w:rsidRDefault="00E9531C" w:rsidP="00E70BD4">
            <w:pPr>
              <w:jc w:val="left"/>
            </w:pPr>
          </w:p>
        </w:tc>
      </w:tr>
      <w:tr w:rsidR="00E9531C" w:rsidRPr="00AA0BF8" w14:paraId="270FD930" w14:textId="77777777" w:rsidTr="00E70BD4">
        <w:trPr>
          <w:trHeight w:val="197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6E9D63F0" w14:textId="21BDC362" w:rsidR="00E9531C" w:rsidRPr="00AA0BF8" w:rsidRDefault="00E9531C" w:rsidP="00E70BD4">
            <w:pPr>
              <w:jc w:val="left"/>
            </w:pPr>
            <w:r w:rsidRPr="00AA0BF8">
              <w:t>Budget Management Process Group</w:t>
            </w:r>
            <w:r w:rsidR="00796A0C">
              <w:t>ing</w:t>
            </w:r>
          </w:p>
        </w:tc>
      </w:tr>
      <w:tr w:rsidR="00E9531C" w:rsidRPr="00AA0BF8" w14:paraId="39B2707C" w14:textId="77777777" w:rsidTr="008C4322">
        <w:trPr>
          <w:trHeight w:val="197"/>
        </w:trPr>
        <w:tc>
          <w:tcPr>
            <w:tcW w:w="2271" w:type="dxa"/>
          </w:tcPr>
          <w:p w14:paraId="6C8C726B" w14:textId="1F97C44F" w:rsidR="00E9531C" w:rsidRPr="00AA0BF8" w:rsidRDefault="00DA377D" w:rsidP="00E70BD4">
            <w:pPr>
              <w:jc w:val="left"/>
            </w:pPr>
            <w:r w:rsidRPr="00DA377D">
              <w:t>I.20.2 Budget Execution and Management</w:t>
            </w:r>
          </w:p>
        </w:tc>
        <w:tc>
          <w:tcPr>
            <w:tcW w:w="7079" w:type="dxa"/>
          </w:tcPr>
          <w:p w14:paraId="630E612A" w14:textId="77777777" w:rsidR="00E9531C" w:rsidRPr="00AA0BF8" w:rsidRDefault="00E9531C" w:rsidP="00E70BD4">
            <w:pPr>
              <w:jc w:val="left"/>
            </w:pPr>
          </w:p>
        </w:tc>
      </w:tr>
      <w:tr w:rsidR="00E9531C" w:rsidRPr="00AA0BF8" w14:paraId="1A3B5030" w14:textId="77777777" w:rsidTr="008C4322">
        <w:trPr>
          <w:trHeight w:val="197"/>
        </w:trPr>
        <w:tc>
          <w:tcPr>
            <w:tcW w:w="2271" w:type="dxa"/>
          </w:tcPr>
          <w:p w14:paraId="5323D505" w14:textId="3266FBB2" w:rsidR="00E9531C" w:rsidRPr="00AA0BF8" w:rsidRDefault="00DA377D" w:rsidP="00E70BD4">
            <w:pPr>
              <w:jc w:val="left"/>
            </w:pPr>
            <w:r w:rsidRPr="00DA377D">
              <w:t>I.20.3 Perform Budget Close</w:t>
            </w:r>
          </w:p>
        </w:tc>
        <w:tc>
          <w:tcPr>
            <w:tcW w:w="7079" w:type="dxa"/>
          </w:tcPr>
          <w:p w14:paraId="20AFFAF5" w14:textId="77777777" w:rsidR="00E9531C" w:rsidRPr="00AA0BF8" w:rsidRDefault="00E9531C" w:rsidP="00E70BD4">
            <w:pPr>
              <w:jc w:val="left"/>
            </w:pPr>
          </w:p>
        </w:tc>
      </w:tr>
      <w:tr w:rsidR="00E9531C" w:rsidRPr="00AA0BF8" w14:paraId="5E48E324" w14:textId="77777777" w:rsidTr="00E9531C">
        <w:trPr>
          <w:trHeight w:val="197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04236E3E" w14:textId="49DE5A37" w:rsidR="00E9531C" w:rsidRPr="00AA0BF8" w:rsidRDefault="00E9531C" w:rsidP="00E70BD4">
            <w:pPr>
              <w:jc w:val="left"/>
            </w:pPr>
            <w:r w:rsidRPr="00AA0BF8">
              <w:t>Cash Management Process Group</w:t>
            </w:r>
            <w:r w:rsidR="00796A0C">
              <w:t>ing</w:t>
            </w:r>
          </w:p>
        </w:tc>
      </w:tr>
      <w:tr w:rsidR="00E9531C" w:rsidRPr="00AA0BF8" w14:paraId="70350B0E" w14:textId="77777777" w:rsidTr="008C4322">
        <w:trPr>
          <w:trHeight w:val="197"/>
        </w:trPr>
        <w:tc>
          <w:tcPr>
            <w:tcW w:w="2271" w:type="dxa"/>
          </w:tcPr>
          <w:p w14:paraId="622781FA" w14:textId="33D2A3E5" w:rsidR="00E9531C" w:rsidRPr="00AA0BF8" w:rsidRDefault="00DA377D" w:rsidP="00E9531C">
            <w:pPr>
              <w:jc w:val="left"/>
            </w:pPr>
            <w:r w:rsidRPr="00DA377D">
              <w:t>I.80.1 Cash Checking</w:t>
            </w:r>
          </w:p>
        </w:tc>
        <w:tc>
          <w:tcPr>
            <w:tcW w:w="7079" w:type="dxa"/>
          </w:tcPr>
          <w:p w14:paraId="20B238AD" w14:textId="0980A84D" w:rsidR="00E9531C" w:rsidRPr="00AA0BF8" w:rsidRDefault="00E9531C" w:rsidP="00E9531C">
            <w:pPr>
              <w:jc w:val="left"/>
            </w:pPr>
          </w:p>
        </w:tc>
      </w:tr>
      <w:tr w:rsidR="00E9531C" w:rsidRPr="00AA0BF8" w14:paraId="340A2475" w14:textId="77777777" w:rsidTr="008C4322">
        <w:trPr>
          <w:trHeight w:val="197"/>
        </w:trPr>
        <w:tc>
          <w:tcPr>
            <w:tcW w:w="2271" w:type="dxa"/>
          </w:tcPr>
          <w:p w14:paraId="32263FEA" w14:textId="32E665EE" w:rsidR="00E9531C" w:rsidRPr="00AA0BF8" w:rsidRDefault="00DA377D" w:rsidP="00E9531C">
            <w:pPr>
              <w:jc w:val="left"/>
            </w:pPr>
            <w:r w:rsidRPr="00DA377D">
              <w:t>I.80.2.A Trust Fund Investments and Disinvestments</w:t>
            </w:r>
          </w:p>
        </w:tc>
        <w:tc>
          <w:tcPr>
            <w:tcW w:w="7079" w:type="dxa"/>
          </w:tcPr>
          <w:p w14:paraId="006EC1B6" w14:textId="27C53DF5" w:rsidR="00E9531C" w:rsidRPr="00AA0BF8" w:rsidRDefault="00E9531C" w:rsidP="00E9531C">
            <w:pPr>
              <w:jc w:val="left"/>
            </w:pPr>
          </w:p>
        </w:tc>
      </w:tr>
      <w:tr w:rsidR="00DA377D" w:rsidRPr="00AA0BF8" w14:paraId="48C58CA9" w14:textId="77777777" w:rsidTr="00DA377D">
        <w:trPr>
          <w:trHeight w:val="197"/>
        </w:trPr>
        <w:tc>
          <w:tcPr>
            <w:tcW w:w="2271" w:type="dxa"/>
          </w:tcPr>
          <w:p w14:paraId="22E67FA2" w14:textId="17FDA069" w:rsidR="00DA377D" w:rsidRPr="00AA0BF8" w:rsidRDefault="00DA377D" w:rsidP="00E9531C">
            <w:pPr>
              <w:jc w:val="left"/>
            </w:pPr>
            <w:r w:rsidRPr="00DA377D">
              <w:t>I.80.2.B General Revenue Service Charge Payment</w:t>
            </w:r>
          </w:p>
        </w:tc>
        <w:tc>
          <w:tcPr>
            <w:tcW w:w="7079" w:type="dxa"/>
          </w:tcPr>
          <w:p w14:paraId="7FBB1FF2" w14:textId="77777777" w:rsidR="00DA377D" w:rsidRPr="00AA0BF8" w:rsidRDefault="00DA377D" w:rsidP="00E9531C">
            <w:pPr>
              <w:jc w:val="left"/>
            </w:pPr>
          </w:p>
        </w:tc>
      </w:tr>
      <w:tr w:rsidR="00DA377D" w:rsidRPr="00AA0BF8" w14:paraId="3408423A" w14:textId="77777777" w:rsidTr="00DA377D">
        <w:trPr>
          <w:trHeight w:val="197"/>
        </w:trPr>
        <w:tc>
          <w:tcPr>
            <w:tcW w:w="2271" w:type="dxa"/>
          </w:tcPr>
          <w:p w14:paraId="3BA7E815" w14:textId="0EA10FB0" w:rsidR="00DA377D" w:rsidRPr="00AA0BF8" w:rsidRDefault="00DA377D" w:rsidP="00E9531C">
            <w:pPr>
              <w:jc w:val="left"/>
            </w:pPr>
            <w:r w:rsidRPr="00DA377D">
              <w:t>I.80.2.C Process Fund Loans</w:t>
            </w:r>
          </w:p>
        </w:tc>
        <w:tc>
          <w:tcPr>
            <w:tcW w:w="7079" w:type="dxa"/>
          </w:tcPr>
          <w:p w14:paraId="337F41B3" w14:textId="77777777" w:rsidR="00DA377D" w:rsidRPr="00AA0BF8" w:rsidRDefault="00DA377D" w:rsidP="00E9531C">
            <w:pPr>
              <w:jc w:val="left"/>
            </w:pPr>
          </w:p>
        </w:tc>
      </w:tr>
      <w:tr w:rsidR="00DA377D" w:rsidRPr="00AA0BF8" w14:paraId="596CB712" w14:textId="77777777" w:rsidTr="00DA377D">
        <w:trPr>
          <w:trHeight w:val="197"/>
        </w:trPr>
        <w:tc>
          <w:tcPr>
            <w:tcW w:w="2271" w:type="dxa"/>
          </w:tcPr>
          <w:p w14:paraId="4D9E2841" w14:textId="1E52B657" w:rsidR="00DA377D" w:rsidRPr="00AA0BF8" w:rsidRDefault="00DA377D" w:rsidP="00E9531C">
            <w:pPr>
              <w:jc w:val="left"/>
            </w:pPr>
            <w:r w:rsidRPr="00DA377D">
              <w:t>I.80.2.D Consolidated Revolving Account Management</w:t>
            </w:r>
          </w:p>
        </w:tc>
        <w:tc>
          <w:tcPr>
            <w:tcW w:w="7079" w:type="dxa"/>
          </w:tcPr>
          <w:p w14:paraId="477B1F4D" w14:textId="77777777" w:rsidR="00DA377D" w:rsidRPr="00AA0BF8" w:rsidRDefault="00DA377D" w:rsidP="00E9531C">
            <w:pPr>
              <w:jc w:val="left"/>
            </w:pPr>
          </w:p>
        </w:tc>
      </w:tr>
      <w:tr w:rsidR="00DA377D" w:rsidRPr="00AA0BF8" w14:paraId="0181DA45" w14:textId="77777777" w:rsidTr="00DA377D">
        <w:trPr>
          <w:trHeight w:val="197"/>
        </w:trPr>
        <w:tc>
          <w:tcPr>
            <w:tcW w:w="2271" w:type="dxa"/>
          </w:tcPr>
          <w:p w14:paraId="00BEF9AB" w14:textId="4F9C5648" w:rsidR="00DA377D" w:rsidRPr="00AA0BF8" w:rsidRDefault="00DA377D" w:rsidP="00E9531C">
            <w:pPr>
              <w:jc w:val="left"/>
            </w:pPr>
            <w:r w:rsidRPr="00DA377D">
              <w:lastRenderedPageBreak/>
              <w:t>I.80.2.E Pilot InterUnit Payments or Transfers</w:t>
            </w:r>
          </w:p>
        </w:tc>
        <w:tc>
          <w:tcPr>
            <w:tcW w:w="7079" w:type="dxa"/>
          </w:tcPr>
          <w:p w14:paraId="397CBD95" w14:textId="77777777" w:rsidR="00DA377D" w:rsidRPr="00AA0BF8" w:rsidRDefault="00DA377D" w:rsidP="00E9531C">
            <w:pPr>
              <w:jc w:val="left"/>
            </w:pPr>
          </w:p>
        </w:tc>
      </w:tr>
      <w:tr w:rsidR="00DA377D" w:rsidRPr="00AA0BF8" w14:paraId="6F0E0319" w14:textId="77777777" w:rsidTr="00DA377D">
        <w:trPr>
          <w:trHeight w:val="197"/>
        </w:trPr>
        <w:tc>
          <w:tcPr>
            <w:tcW w:w="2271" w:type="dxa"/>
          </w:tcPr>
          <w:p w14:paraId="15434C2E" w14:textId="187C8813" w:rsidR="00DA377D" w:rsidRPr="00AA0BF8" w:rsidRDefault="00DA377D" w:rsidP="00E9531C">
            <w:pPr>
              <w:jc w:val="left"/>
            </w:pPr>
            <w:r w:rsidRPr="00DA377D">
              <w:t>I.80.2.F Annual CMIA Report</w:t>
            </w:r>
          </w:p>
        </w:tc>
        <w:tc>
          <w:tcPr>
            <w:tcW w:w="7079" w:type="dxa"/>
          </w:tcPr>
          <w:p w14:paraId="51CE3682" w14:textId="77777777" w:rsidR="00DA377D" w:rsidRPr="00AA0BF8" w:rsidRDefault="00DA377D" w:rsidP="00E9531C">
            <w:pPr>
              <w:jc w:val="left"/>
            </w:pPr>
          </w:p>
        </w:tc>
      </w:tr>
      <w:tr w:rsidR="00E9531C" w:rsidRPr="00AA0BF8" w14:paraId="72C2F080" w14:textId="77777777" w:rsidTr="00E70BD4">
        <w:trPr>
          <w:trHeight w:val="197"/>
        </w:trPr>
        <w:tc>
          <w:tcPr>
            <w:tcW w:w="9350" w:type="dxa"/>
            <w:gridSpan w:val="2"/>
            <w:shd w:val="clear" w:color="auto" w:fill="D9D9D9" w:themeFill="background1" w:themeFillShade="D9"/>
          </w:tcPr>
          <w:p w14:paraId="741C0A45" w14:textId="7D46C5E6" w:rsidR="00E9531C" w:rsidRPr="00AA0BF8" w:rsidRDefault="00E9531C" w:rsidP="00E9531C">
            <w:pPr>
              <w:jc w:val="left"/>
            </w:pPr>
            <w:r w:rsidRPr="00AA0BF8">
              <w:t>Disbursements Management Process Group</w:t>
            </w:r>
            <w:r w:rsidR="00796A0C">
              <w:t>ing</w:t>
            </w:r>
          </w:p>
        </w:tc>
      </w:tr>
      <w:tr w:rsidR="00E9531C" w:rsidRPr="00AA0BF8" w14:paraId="36A2D0D9" w14:textId="77777777" w:rsidTr="008C4322">
        <w:trPr>
          <w:trHeight w:val="197"/>
        </w:trPr>
        <w:tc>
          <w:tcPr>
            <w:tcW w:w="2271" w:type="dxa"/>
          </w:tcPr>
          <w:p w14:paraId="71480DE0" w14:textId="155CEF79" w:rsidR="00E9531C" w:rsidRPr="00AA0BF8" w:rsidRDefault="00DA377D" w:rsidP="00E9531C">
            <w:pPr>
              <w:jc w:val="left"/>
            </w:pPr>
            <w:r w:rsidRPr="00DA377D">
              <w:t>I.30.1 Set Up and Maintain Suppliers</w:t>
            </w:r>
          </w:p>
        </w:tc>
        <w:tc>
          <w:tcPr>
            <w:tcW w:w="7079" w:type="dxa"/>
          </w:tcPr>
          <w:p w14:paraId="74492F27" w14:textId="77777777" w:rsidR="00E9531C" w:rsidRPr="00AA0BF8" w:rsidRDefault="00E9531C" w:rsidP="00E9531C">
            <w:pPr>
              <w:jc w:val="left"/>
            </w:pPr>
          </w:p>
        </w:tc>
      </w:tr>
      <w:tr w:rsidR="00E9531C" w:rsidRPr="00AA0BF8" w14:paraId="40866874" w14:textId="77777777" w:rsidTr="008C4322">
        <w:trPr>
          <w:trHeight w:val="197"/>
        </w:trPr>
        <w:tc>
          <w:tcPr>
            <w:tcW w:w="2271" w:type="dxa"/>
          </w:tcPr>
          <w:p w14:paraId="56933136" w14:textId="295BB04D" w:rsidR="00E9531C" w:rsidRPr="00AA0BF8" w:rsidRDefault="00DA377D" w:rsidP="00E9531C">
            <w:pPr>
              <w:jc w:val="left"/>
            </w:pPr>
            <w:r>
              <w:t>I.</w:t>
            </w:r>
            <w:r w:rsidR="00E9531C" w:rsidRPr="00AA0BF8">
              <w:t>30.3</w:t>
            </w:r>
            <w:r>
              <w:t xml:space="preserve">.A Process </w:t>
            </w:r>
            <w:r w:rsidR="00E9531C" w:rsidRPr="00AA0BF8">
              <w:t>Vouchers</w:t>
            </w:r>
          </w:p>
        </w:tc>
        <w:tc>
          <w:tcPr>
            <w:tcW w:w="7079" w:type="dxa"/>
          </w:tcPr>
          <w:p w14:paraId="67D3B9A9" w14:textId="77777777" w:rsidR="00E9531C" w:rsidRPr="00AA0BF8" w:rsidRDefault="00E9531C" w:rsidP="00E9531C">
            <w:pPr>
              <w:jc w:val="left"/>
            </w:pPr>
          </w:p>
        </w:tc>
      </w:tr>
      <w:tr w:rsidR="00DA377D" w:rsidRPr="00AA0BF8" w14:paraId="371B0B5B" w14:textId="77777777" w:rsidTr="008C4322">
        <w:trPr>
          <w:trHeight w:val="197"/>
        </w:trPr>
        <w:tc>
          <w:tcPr>
            <w:tcW w:w="2271" w:type="dxa"/>
          </w:tcPr>
          <w:p w14:paraId="17773FC5" w14:textId="10C915A5" w:rsidR="00DA377D" w:rsidRDefault="00DA377D" w:rsidP="00E9531C">
            <w:pPr>
              <w:jc w:val="left"/>
            </w:pPr>
            <w:r>
              <w:t>I.30.3.B Audit Vouchers</w:t>
            </w:r>
          </w:p>
        </w:tc>
        <w:tc>
          <w:tcPr>
            <w:tcW w:w="7079" w:type="dxa"/>
          </w:tcPr>
          <w:p w14:paraId="54D62A21" w14:textId="77777777" w:rsidR="00DA377D" w:rsidRPr="00AA0BF8" w:rsidRDefault="00DA377D" w:rsidP="00E9531C">
            <w:pPr>
              <w:jc w:val="left"/>
            </w:pPr>
          </w:p>
        </w:tc>
      </w:tr>
      <w:tr w:rsidR="00E9531C" w:rsidRPr="00AA0BF8" w14:paraId="43DB87BB" w14:textId="77777777" w:rsidTr="008C4322">
        <w:trPr>
          <w:trHeight w:val="197"/>
        </w:trPr>
        <w:tc>
          <w:tcPr>
            <w:tcW w:w="2271" w:type="dxa"/>
          </w:tcPr>
          <w:p w14:paraId="6EBE0799" w14:textId="3D874E6B" w:rsidR="00E9531C" w:rsidRPr="00AA0BF8" w:rsidRDefault="00DA377D" w:rsidP="00E9531C">
            <w:pPr>
              <w:jc w:val="left"/>
            </w:pPr>
            <w:r>
              <w:t>I.</w:t>
            </w:r>
            <w:r w:rsidR="00E9531C" w:rsidRPr="00AA0BF8">
              <w:t xml:space="preserve">30.4 </w:t>
            </w:r>
            <w:r w:rsidR="00D17FF8" w:rsidRPr="00AA0BF8">
              <w:t xml:space="preserve">Process </w:t>
            </w:r>
            <w:r>
              <w:t>Pay Cycle</w:t>
            </w:r>
          </w:p>
        </w:tc>
        <w:tc>
          <w:tcPr>
            <w:tcW w:w="7079" w:type="dxa"/>
          </w:tcPr>
          <w:p w14:paraId="0B367963" w14:textId="77777777" w:rsidR="00E9531C" w:rsidRPr="00AA0BF8" w:rsidRDefault="00E9531C" w:rsidP="00E9531C">
            <w:pPr>
              <w:jc w:val="left"/>
            </w:pPr>
          </w:p>
        </w:tc>
      </w:tr>
      <w:tr w:rsidR="00E9531C" w:rsidRPr="00AA0BF8" w14:paraId="13C16805" w14:textId="77777777" w:rsidTr="008C4322">
        <w:trPr>
          <w:trHeight w:val="197"/>
        </w:trPr>
        <w:tc>
          <w:tcPr>
            <w:tcW w:w="2271" w:type="dxa"/>
          </w:tcPr>
          <w:p w14:paraId="4058D4F3" w14:textId="0AD82D8D" w:rsidR="00E9531C" w:rsidRPr="00AA0BF8" w:rsidRDefault="00DA377D" w:rsidP="00E9531C">
            <w:pPr>
              <w:jc w:val="left"/>
            </w:pPr>
            <w:r>
              <w:t>I.</w:t>
            </w:r>
            <w:r w:rsidR="00E9531C" w:rsidRPr="00AA0BF8">
              <w:t>30.5</w:t>
            </w:r>
            <w:r>
              <w:t>.A</w:t>
            </w:r>
            <w:r w:rsidR="00D17FF8" w:rsidRPr="00AA0BF8">
              <w:t xml:space="preserve"> </w:t>
            </w:r>
            <w:r>
              <w:t>Manage Stale Payments</w:t>
            </w:r>
          </w:p>
        </w:tc>
        <w:tc>
          <w:tcPr>
            <w:tcW w:w="7079" w:type="dxa"/>
          </w:tcPr>
          <w:p w14:paraId="2AEE51B5" w14:textId="77777777" w:rsidR="00E9531C" w:rsidRPr="00AA0BF8" w:rsidRDefault="00E9531C" w:rsidP="00E9531C">
            <w:pPr>
              <w:jc w:val="left"/>
            </w:pPr>
          </w:p>
        </w:tc>
      </w:tr>
      <w:tr w:rsidR="00DA377D" w:rsidRPr="00AA0BF8" w14:paraId="11D5B14F" w14:textId="77777777" w:rsidTr="008C4322">
        <w:trPr>
          <w:trHeight w:val="197"/>
        </w:trPr>
        <w:tc>
          <w:tcPr>
            <w:tcW w:w="2271" w:type="dxa"/>
          </w:tcPr>
          <w:p w14:paraId="2CE789AA" w14:textId="54E87A83" w:rsidR="00DA377D" w:rsidRDefault="00DA377D" w:rsidP="00E9531C">
            <w:pPr>
              <w:jc w:val="left"/>
            </w:pPr>
            <w:r>
              <w:t>I.30.5.B Cancel Payments</w:t>
            </w:r>
          </w:p>
        </w:tc>
        <w:tc>
          <w:tcPr>
            <w:tcW w:w="7079" w:type="dxa"/>
          </w:tcPr>
          <w:p w14:paraId="49991C0B" w14:textId="77777777" w:rsidR="00DA377D" w:rsidRPr="00AA0BF8" w:rsidRDefault="00DA377D" w:rsidP="00E9531C">
            <w:pPr>
              <w:jc w:val="left"/>
            </w:pPr>
          </w:p>
        </w:tc>
      </w:tr>
      <w:tr w:rsidR="00DA377D" w:rsidRPr="00AA0BF8" w14:paraId="10FD262A" w14:textId="77777777" w:rsidTr="008C4322">
        <w:trPr>
          <w:trHeight w:val="197"/>
        </w:trPr>
        <w:tc>
          <w:tcPr>
            <w:tcW w:w="2271" w:type="dxa"/>
          </w:tcPr>
          <w:p w14:paraId="37BDA595" w14:textId="0D4DC740" w:rsidR="00DA377D" w:rsidRDefault="00DA377D" w:rsidP="00E9531C">
            <w:pPr>
              <w:jc w:val="left"/>
            </w:pPr>
            <w:r>
              <w:t>I.30.6 Manage Tax Reporting</w:t>
            </w:r>
          </w:p>
        </w:tc>
        <w:tc>
          <w:tcPr>
            <w:tcW w:w="7079" w:type="dxa"/>
          </w:tcPr>
          <w:p w14:paraId="01861C6D" w14:textId="77777777" w:rsidR="00DA377D" w:rsidRPr="00AA0BF8" w:rsidRDefault="00DA377D" w:rsidP="00E9531C">
            <w:pPr>
              <w:jc w:val="left"/>
            </w:pPr>
          </w:p>
        </w:tc>
      </w:tr>
      <w:tr w:rsidR="00DA377D" w:rsidRPr="00AA0BF8" w14:paraId="2C4AEB65" w14:textId="77777777" w:rsidTr="008C4322">
        <w:trPr>
          <w:trHeight w:val="197"/>
        </w:trPr>
        <w:tc>
          <w:tcPr>
            <w:tcW w:w="2271" w:type="dxa"/>
          </w:tcPr>
          <w:p w14:paraId="10A600BC" w14:textId="4FDB003A" w:rsidR="00DA377D" w:rsidRDefault="00DA377D" w:rsidP="00E9531C">
            <w:pPr>
              <w:jc w:val="left"/>
            </w:pPr>
            <w:r>
              <w:t>I.30.7 Accounts Payable Period Close</w:t>
            </w:r>
          </w:p>
        </w:tc>
        <w:tc>
          <w:tcPr>
            <w:tcW w:w="7079" w:type="dxa"/>
          </w:tcPr>
          <w:p w14:paraId="4B76EC0F" w14:textId="77777777" w:rsidR="00DA377D" w:rsidRPr="00AA0BF8" w:rsidRDefault="00DA377D" w:rsidP="00E9531C">
            <w:pPr>
              <w:jc w:val="left"/>
            </w:pPr>
          </w:p>
        </w:tc>
      </w:tr>
    </w:tbl>
    <w:p w14:paraId="7E37A4B3" w14:textId="514B6DF0" w:rsidR="00E9531C" w:rsidRPr="00AA0BF8" w:rsidRDefault="00E9531C" w:rsidP="00E9531C"/>
    <w:p w14:paraId="5ED8A0B9" w14:textId="77777777" w:rsidR="00E9531C" w:rsidRPr="00AA0BF8" w:rsidRDefault="00E9531C" w:rsidP="00E9531C"/>
    <w:p w14:paraId="65D38844" w14:textId="577843FD" w:rsidR="009E2913" w:rsidRPr="00AA0BF8" w:rsidRDefault="009E2913" w:rsidP="009E2913">
      <w:pPr>
        <w:pStyle w:val="Heading1"/>
      </w:pPr>
      <w:r w:rsidRPr="00AA0BF8">
        <w:t xml:space="preserve"> </w:t>
      </w:r>
    </w:p>
    <w:p w14:paraId="03BC31EA" w14:textId="77777777" w:rsidR="00AF65B9" w:rsidRPr="00AA0BF8" w:rsidRDefault="00AF65B9" w:rsidP="00056CDA"/>
    <w:sectPr w:rsidR="00AF65B9" w:rsidRPr="00AA0BF8" w:rsidSect="005C6F9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B7536" w14:textId="77777777" w:rsidR="00041CA9" w:rsidRDefault="00041CA9" w:rsidP="00D368B3">
      <w:r>
        <w:separator/>
      </w:r>
    </w:p>
  </w:endnote>
  <w:endnote w:type="continuationSeparator" w:id="0">
    <w:p w14:paraId="3078938D" w14:textId="77777777" w:rsidR="00041CA9" w:rsidRDefault="00041CA9" w:rsidP="00D3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3DE46" w14:textId="77777777" w:rsidR="00D310BC" w:rsidRDefault="00D310BC" w:rsidP="0054564B">
    <w:pPr>
      <w:pStyle w:val="Footer"/>
      <w:pBdr>
        <w:bottom w:val="single" w:sz="12" w:space="1" w:color="323E4F" w:themeColor="text2" w:themeShade="BF"/>
      </w:pBdr>
      <w:jc w:val="center"/>
      <w:rPr>
        <w:bCs/>
        <w:color w:val="000000" w:themeColor="text1"/>
        <w:sz w:val="18"/>
        <w:szCs w:val="18"/>
        <w:highlight w:val="yellow"/>
      </w:rPr>
    </w:pPr>
  </w:p>
  <w:p w14:paraId="0313DE47" w14:textId="77777777" w:rsidR="00D310BC" w:rsidRPr="00270EC8" w:rsidRDefault="00D310BC" w:rsidP="00D368B3">
    <w:pPr>
      <w:pStyle w:val="Footer"/>
      <w:rPr>
        <w:bCs/>
        <w:color w:val="000000" w:themeColor="text1"/>
        <w:sz w:val="18"/>
        <w:szCs w:val="18"/>
      </w:rPr>
    </w:pPr>
  </w:p>
  <w:p w14:paraId="0313DE48" w14:textId="15194FA7" w:rsidR="00D310BC" w:rsidRPr="00270EC8" w:rsidRDefault="00D310BC">
    <w:pPr>
      <w:pStyle w:val="Footer"/>
      <w:rPr>
        <w:color w:val="000000" w:themeColor="text1"/>
        <w:sz w:val="18"/>
        <w:szCs w:val="18"/>
      </w:rPr>
    </w:pPr>
    <w:r w:rsidRPr="00270EC8">
      <w:rPr>
        <w:bCs/>
        <w:color w:val="000000" w:themeColor="text1"/>
        <w:sz w:val="18"/>
        <w:szCs w:val="18"/>
      </w:rPr>
      <w:t xml:space="preserve">Page </w:t>
    </w:r>
    <w:r w:rsidRPr="00270EC8">
      <w:rPr>
        <w:bCs/>
        <w:color w:val="000000" w:themeColor="text1"/>
        <w:sz w:val="18"/>
        <w:szCs w:val="18"/>
      </w:rPr>
      <w:fldChar w:fldCharType="begin"/>
    </w:r>
    <w:r w:rsidRPr="00270EC8">
      <w:rPr>
        <w:bCs/>
        <w:color w:val="000000" w:themeColor="text1"/>
        <w:sz w:val="18"/>
        <w:szCs w:val="18"/>
      </w:rPr>
      <w:instrText xml:space="preserve"> PAGE  \* Arabic  \* MERGEFORMAT </w:instrText>
    </w:r>
    <w:r w:rsidRPr="00270EC8">
      <w:rPr>
        <w:bCs/>
        <w:color w:val="000000" w:themeColor="text1"/>
        <w:sz w:val="18"/>
        <w:szCs w:val="18"/>
      </w:rPr>
      <w:fldChar w:fldCharType="separate"/>
    </w:r>
    <w:r w:rsidR="00B816A2">
      <w:rPr>
        <w:bCs/>
        <w:noProof/>
        <w:color w:val="000000" w:themeColor="text1"/>
        <w:sz w:val="18"/>
        <w:szCs w:val="18"/>
      </w:rPr>
      <w:t>1</w:t>
    </w:r>
    <w:r w:rsidRPr="00270EC8">
      <w:rPr>
        <w:bCs/>
        <w:color w:val="000000" w:themeColor="text1"/>
        <w:sz w:val="18"/>
        <w:szCs w:val="18"/>
      </w:rPr>
      <w:fldChar w:fldCharType="end"/>
    </w:r>
    <w:r w:rsidRPr="00270EC8">
      <w:rPr>
        <w:bCs/>
        <w:color w:val="000000" w:themeColor="text1"/>
        <w:sz w:val="18"/>
        <w:szCs w:val="18"/>
      </w:rPr>
      <w:t xml:space="preserve"> of </w:t>
    </w:r>
    <w:r>
      <w:rPr>
        <w:bCs/>
        <w:noProof/>
        <w:color w:val="000000" w:themeColor="text1"/>
        <w:sz w:val="18"/>
        <w:szCs w:val="18"/>
      </w:rPr>
      <w:fldChar w:fldCharType="begin"/>
    </w:r>
    <w:r>
      <w:rPr>
        <w:bCs/>
        <w:noProof/>
        <w:color w:val="000000" w:themeColor="text1"/>
        <w:sz w:val="18"/>
        <w:szCs w:val="18"/>
      </w:rPr>
      <w:instrText xml:space="preserve"> NUMPAGES  \* Arabic  \* MERGEFORMAT </w:instrText>
    </w:r>
    <w:r>
      <w:rPr>
        <w:bCs/>
        <w:noProof/>
        <w:color w:val="000000" w:themeColor="text1"/>
        <w:sz w:val="18"/>
        <w:szCs w:val="18"/>
      </w:rPr>
      <w:fldChar w:fldCharType="separate"/>
    </w:r>
    <w:r w:rsidR="00B816A2">
      <w:rPr>
        <w:bCs/>
        <w:noProof/>
        <w:color w:val="000000" w:themeColor="text1"/>
        <w:sz w:val="18"/>
        <w:szCs w:val="18"/>
      </w:rPr>
      <w:t>5</w:t>
    </w:r>
    <w:r>
      <w:rPr>
        <w:bCs/>
        <w:noProof/>
        <w:color w:val="000000" w:themeColor="text1"/>
        <w:sz w:val="18"/>
        <w:szCs w:val="18"/>
      </w:rPr>
      <w:fldChar w:fldCharType="end"/>
    </w:r>
    <w:r w:rsidRPr="00270EC8">
      <w:rPr>
        <w:bCs/>
        <w:color w:val="000000" w:themeColor="text1"/>
        <w:sz w:val="18"/>
        <w:szCs w:val="18"/>
      </w:rPr>
      <w:ptab w:relativeTo="margin" w:alignment="center" w:leader="none"/>
    </w:r>
    <w:r w:rsidRPr="00270EC8">
      <w:rPr>
        <w:bCs/>
        <w:color w:val="000000" w:themeColor="text1"/>
        <w:sz w:val="18"/>
        <w:szCs w:val="18"/>
      </w:rPr>
      <w:ptab w:relativeTo="margin" w:alignment="right" w:leader="none"/>
    </w:r>
    <w:r w:rsidR="00C647FC">
      <w:rPr>
        <w:bCs/>
        <w:color w:val="000000" w:themeColor="text1"/>
        <w:sz w:val="18"/>
        <w:szCs w:val="18"/>
      </w:rPr>
      <w:t>12</w:t>
    </w:r>
    <w:r>
      <w:rPr>
        <w:bCs/>
        <w:color w:val="000000" w:themeColor="text1"/>
        <w:sz w:val="18"/>
        <w:szCs w:val="18"/>
      </w:rPr>
      <w:t>/</w:t>
    </w:r>
    <w:r w:rsidR="00565A35">
      <w:rPr>
        <w:bCs/>
        <w:color w:val="000000" w:themeColor="text1"/>
        <w:sz w:val="18"/>
        <w:szCs w:val="18"/>
      </w:rPr>
      <w:t>13</w:t>
    </w:r>
    <w:r>
      <w:rPr>
        <w:bCs/>
        <w:color w:val="000000" w:themeColor="text1"/>
        <w:sz w:val="18"/>
        <w:szCs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C2F489" w14:textId="77777777" w:rsidR="00041CA9" w:rsidRDefault="00041CA9" w:rsidP="00D368B3">
      <w:r>
        <w:separator/>
      </w:r>
    </w:p>
  </w:footnote>
  <w:footnote w:type="continuationSeparator" w:id="0">
    <w:p w14:paraId="52BD84E5" w14:textId="77777777" w:rsidR="00041CA9" w:rsidRDefault="00041CA9" w:rsidP="00D36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EC2F5" w14:textId="48007316" w:rsidR="00D310BC" w:rsidRDefault="00D310BC" w:rsidP="002A2357">
    <w:pPr>
      <w:pStyle w:val="Header"/>
      <w:jc w:val="right"/>
      <w:rPr>
        <w:rStyle w:val="BookTitle"/>
        <w:b/>
        <w:i/>
        <w:color w:val="03304B"/>
      </w:rPr>
    </w:pPr>
    <w:bookmarkStart w:id="9" w:name="_Hlk7101285"/>
    <w:bookmarkStart w:id="10" w:name="_Hlk7101286"/>
    <w:bookmarkStart w:id="11" w:name="_Hlk7101289"/>
    <w:bookmarkStart w:id="12" w:name="_Hlk7101290"/>
    <w:r>
      <w:rPr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0313DE49" wp14:editId="0313DE4A">
          <wp:simplePos x="0" y="0"/>
          <wp:positionH relativeFrom="margin">
            <wp:posOffset>0</wp:posOffset>
          </wp:positionH>
          <wp:positionV relativeFrom="paragraph">
            <wp:posOffset>-55245</wp:posOffset>
          </wp:positionV>
          <wp:extent cx="2647950" cy="577850"/>
          <wp:effectExtent l="0" t="0" r="0" b="0"/>
          <wp:wrapSquare wrapText="bothSides"/>
          <wp:docPr id="9" name="Picture 9" descr="C:\Users\gotreauxj\Desktop\Official_Florida_PALM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treauxj\Desktop\Official_Florida_PALM_Log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70" t="37885" r="6410" b="39231"/>
                  <a:stretch/>
                </pic:blipFill>
                <pic:spPr bwMode="auto">
                  <a:xfrm>
                    <a:off x="0" y="0"/>
                    <a:ext cx="264795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465E7">
      <w:rPr>
        <w:rStyle w:val="BookTitle"/>
      </w:rPr>
      <w:t>Department of Financial Services</w:t>
    </w:r>
    <w:r w:rsidRPr="006F0D56">
      <w:rPr>
        <w:rStyle w:val="BookTitle"/>
      </w:rPr>
      <w:br/>
    </w:r>
    <w:r w:rsidR="00565A35">
      <w:rPr>
        <w:rStyle w:val="BookTitle"/>
        <w:b/>
        <w:i/>
        <w:color w:val="03304B"/>
      </w:rPr>
      <w:t>Interim Business Process Models</w:t>
    </w:r>
  </w:p>
  <w:p w14:paraId="0313DE44" w14:textId="224A7765" w:rsidR="00D310BC" w:rsidRPr="0022758D" w:rsidRDefault="00D310BC" w:rsidP="002A2357">
    <w:pPr>
      <w:pStyle w:val="Header"/>
      <w:jc w:val="right"/>
      <w:rPr>
        <w:rStyle w:val="BookTitle"/>
        <w:b/>
        <w:i/>
        <w:color w:val="03304B"/>
      </w:rPr>
    </w:pPr>
    <w:r>
      <w:rPr>
        <w:rStyle w:val="BookTitle"/>
        <w:b/>
        <w:i/>
        <w:color w:val="03304B"/>
      </w:rPr>
      <w:t>Feedback</w:t>
    </w:r>
    <w:r w:rsidR="00341D7C">
      <w:rPr>
        <w:rStyle w:val="BookTitle"/>
        <w:b/>
        <w:i/>
        <w:color w:val="03304B"/>
      </w:rPr>
      <w:t xml:space="preserve"> Form</w:t>
    </w:r>
  </w:p>
  <w:bookmarkEnd w:id="9"/>
  <w:bookmarkEnd w:id="10"/>
  <w:bookmarkEnd w:id="11"/>
  <w:bookmarkEnd w:id="12"/>
  <w:p w14:paraId="0313DE45" w14:textId="77777777" w:rsidR="00D310BC" w:rsidRDefault="00D31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04F9B"/>
    <w:multiLevelType w:val="multilevel"/>
    <w:tmpl w:val="CA34B932"/>
    <w:lvl w:ilvl="0">
      <w:start w:val="1"/>
      <w:numFmt w:val="bullet"/>
      <w:pStyle w:val="Deliverable-ListLevel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99CC"/>
        <w:sz w:val="22"/>
        <w:szCs w:val="20"/>
      </w:rPr>
    </w:lvl>
    <w:lvl w:ilvl="1">
      <w:start w:val="1"/>
      <w:numFmt w:val="bullet"/>
      <w:pStyle w:val="Deliverable-ListLevel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009DDC"/>
      </w:rPr>
    </w:lvl>
    <w:lvl w:ilvl="2">
      <w:start w:val="1"/>
      <w:numFmt w:val="bullet"/>
      <w:pStyle w:val="Deliverable-ListLevel3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99CC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1331C"/>
    <w:multiLevelType w:val="hybridMultilevel"/>
    <w:tmpl w:val="CCFE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F0502"/>
    <w:multiLevelType w:val="hybridMultilevel"/>
    <w:tmpl w:val="A9B653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4B93"/>
    <w:multiLevelType w:val="hybridMultilevel"/>
    <w:tmpl w:val="5E60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A3D0C"/>
    <w:multiLevelType w:val="hybridMultilevel"/>
    <w:tmpl w:val="90E6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31E1A"/>
    <w:multiLevelType w:val="hybridMultilevel"/>
    <w:tmpl w:val="0FA21CC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BA4660"/>
    <w:multiLevelType w:val="multilevel"/>
    <w:tmpl w:val="C5A4DB68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450"/>
        </w:tabs>
        <w:ind w:left="450" w:hanging="360"/>
      </w:pPr>
      <w:rPr>
        <w:rFonts w:ascii="Arial" w:hAnsi="Arial" w:cs="Arial" w:hint="default"/>
        <w:color w:val="03304B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color w:val="03304B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52C6A83"/>
    <w:multiLevelType w:val="hybridMultilevel"/>
    <w:tmpl w:val="FC40B000"/>
    <w:lvl w:ilvl="0" w:tplc="2236D5A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E5A61"/>
    <w:multiLevelType w:val="hybridMultilevel"/>
    <w:tmpl w:val="EB5018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541ADD"/>
    <w:multiLevelType w:val="hybridMultilevel"/>
    <w:tmpl w:val="F438A7F6"/>
    <w:lvl w:ilvl="0" w:tplc="72AEED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C7524"/>
    <w:multiLevelType w:val="hybridMultilevel"/>
    <w:tmpl w:val="8BEC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9151BE"/>
    <w:multiLevelType w:val="hybridMultilevel"/>
    <w:tmpl w:val="6B843CA6"/>
    <w:lvl w:ilvl="0" w:tplc="596050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7826008"/>
    <w:multiLevelType w:val="hybridMultilevel"/>
    <w:tmpl w:val="C11E5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51BB2"/>
    <w:multiLevelType w:val="hybridMultilevel"/>
    <w:tmpl w:val="AC1AD6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EAD61C7"/>
    <w:multiLevelType w:val="hybridMultilevel"/>
    <w:tmpl w:val="9EEEB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567279"/>
    <w:multiLevelType w:val="hybridMultilevel"/>
    <w:tmpl w:val="C9D0E8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4986C5E"/>
    <w:multiLevelType w:val="hybridMultilevel"/>
    <w:tmpl w:val="4062472C"/>
    <w:lvl w:ilvl="0" w:tplc="040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 w15:restartNumberingAfterBreak="0">
    <w:nsid w:val="3D51010A"/>
    <w:multiLevelType w:val="hybridMultilevel"/>
    <w:tmpl w:val="AA0AC26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617AA6"/>
    <w:multiLevelType w:val="hybridMultilevel"/>
    <w:tmpl w:val="E7BCAF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AC45A5"/>
    <w:multiLevelType w:val="hybridMultilevel"/>
    <w:tmpl w:val="3B9414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3D5104"/>
    <w:multiLevelType w:val="hybridMultilevel"/>
    <w:tmpl w:val="90C2F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1F3A7C"/>
    <w:multiLevelType w:val="hybridMultilevel"/>
    <w:tmpl w:val="D3DADD0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552C35CF"/>
    <w:multiLevelType w:val="hybridMultilevel"/>
    <w:tmpl w:val="287EF5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5F67B87"/>
    <w:multiLevelType w:val="hybridMultilevel"/>
    <w:tmpl w:val="F4585B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A04B2"/>
    <w:multiLevelType w:val="hybridMultilevel"/>
    <w:tmpl w:val="A01CD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A0E00"/>
    <w:multiLevelType w:val="hybridMultilevel"/>
    <w:tmpl w:val="A45A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9643B"/>
    <w:multiLevelType w:val="multilevel"/>
    <w:tmpl w:val="F79225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ascii="Arial" w:hAnsi="Arial" w:cs="Arial" w:hint="default"/>
        <w:color w:val="03304B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  <w:color w:val="03304B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06E6"/>
    <w:multiLevelType w:val="hybridMultilevel"/>
    <w:tmpl w:val="C02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8264D6"/>
    <w:multiLevelType w:val="hybridMultilevel"/>
    <w:tmpl w:val="D528FD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72707C"/>
    <w:multiLevelType w:val="hybridMultilevel"/>
    <w:tmpl w:val="553AE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0422E"/>
    <w:multiLevelType w:val="hybridMultilevel"/>
    <w:tmpl w:val="3FF4048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4A3634A"/>
    <w:multiLevelType w:val="hybridMultilevel"/>
    <w:tmpl w:val="16CCFCE6"/>
    <w:lvl w:ilvl="0" w:tplc="A802D0E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C0C7CE2">
      <w:numFmt w:val="none"/>
      <w:lvlText w:val=""/>
      <w:lvlJc w:val="left"/>
      <w:pPr>
        <w:tabs>
          <w:tab w:val="num" w:pos="360"/>
        </w:tabs>
      </w:pPr>
    </w:lvl>
    <w:lvl w:ilvl="2" w:tplc="761462E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8E45790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98E66F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56C8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F24B75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6485EE6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B6413C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2" w15:restartNumberingAfterBreak="0">
    <w:nsid w:val="757C62A3"/>
    <w:multiLevelType w:val="hybridMultilevel"/>
    <w:tmpl w:val="B798C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605CD0"/>
    <w:multiLevelType w:val="hybridMultilevel"/>
    <w:tmpl w:val="F5EAAC0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9F874B0"/>
    <w:multiLevelType w:val="hybridMultilevel"/>
    <w:tmpl w:val="B4CA61CA"/>
    <w:lvl w:ilvl="0" w:tplc="DE76E1D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F14BE0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1A64EB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34E244F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A9EAB9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6EDA10E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290402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29447C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11025F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num w:numId="1">
    <w:abstractNumId w:val="24"/>
  </w:num>
  <w:num w:numId="2">
    <w:abstractNumId w:val="0"/>
  </w:num>
  <w:num w:numId="3">
    <w:abstractNumId w:val="6"/>
  </w:num>
  <w:num w:numId="4">
    <w:abstractNumId w:val="26"/>
  </w:num>
  <w:num w:numId="5">
    <w:abstractNumId w:val="5"/>
  </w:num>
  <w:num w:numId="6">
    <w:abstractNumId w:val="13"/>
  </w:num>
  <w:num w:numId="7">
    <w:abstractNumId w:val="15"/>
  </w:num>
  <w:num w:numId="8">
    <w:abstractNumId w:val="28"/>
  </w:num>
  <w:num w:numId="9">
    <w:abstractNumId w:val="18"/>
  </w:num>
  <w:num w:numId="10">
    <w:abstractNumId w:val="11"/>
  </w:num>
  <w:num w:numId="11">
    <w:abstractNumId w:val="9"/>
  </w:num>
  <w:num w:numId="12">
    <w:abstractNumId w:val="23"/>
  </w:num>
  <w:num w:numId="13">
    <w:abstractNumId w:val="8"/>
  </w:num>
  <w:num w:numId="14">
    <w:abstractNumId w:val="22"/>
  </w:num>
  <w:num w:numId="15">
    <w:abstractNumId w:val="33"/>
  </w:num>
  <w:num w:numId="16">
    <w:abstractNumId w:val="2"/>
  </w:num>
  <w:num w:numId="17">
    <w:abstractNumId w:val="19"/>
  </w:num>
  <w:num w:numId="18">
    <w:abstractNumId w:val="30"/>
  </w:num>
  <w:num w:numId="19">
    <w:abstractNumId w:val="12"/>
  </w:num>
  <w:num w:numId="20">
    <w:abstractNumId w:val="21"/>
  </w:num>
  <w:num w:numId="21">
    <w:abstractNumId w:val="17"/>
  </w:num>
  <w:num w:numId="22">
    <w:abstractNumId w:val="7"/>
  </w:num>
  <w:num w:numId="23">
    <w:abstractNumId w:val="14"/>
  </w:num>
  <w:num w:numId="24">
    <w:abstractNumId w:val="16"/>
  </w:num>
  <w:num w:numId="25">
    <w:abstractNumId w:val="25"/>
  </w:num>
  <w:num w:numId="26">
    <w:abstractNumId w:val="1"/>
  </w:num>
  <w:num w:numId="27">
    <w:abstractNumId w:val="29"/>
  </w:num>
  <w:num w:numId="28">
    <w:abstractNumId w:val="32"/>
  </w:num>
  <w:num w:numId="29">
    <w:abstractNumId w:val="27"/>
  </w:num>
  <w:num w:numId="30">
    <w:abstractNumId w:val="4"/>
  </w:num>
  <w:num w:numId="31">
    <w:abstractNumId w:val="1"/>
  </w:num>
  <w:num w:numId="32">
    <w:abstractNumId w:val="34"/>
  </w:num>
  <w:num w:numId="33">
    <w:abstractNumId w:val="31"/>
  </w:num>
  <w:num w:numId="34">
    <w:abstractNumId w:val="20"/>
  </w:num>
  <w:num w:numId="35">
    <w:abstractNumId w:val="3"/>
  </w:num>
  <w:num w:numId="36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LQ0MDY2MjI2MDc1NjJX0lEKTi0uzszPAymwrAUAbSCWwCwAAAA="/>
  </w:docVars>
  <w:rsids>
    <w:rsidRoot w:val="009F40EA"/>
    <w:rsid w:val="00000C07"/>
    <w:rsid w:val="000033C6"/>
    <w:rsid w:val="00004B59"/>
    <w:rsid w:val="000051E9"/>
    <w:rsid w:val="00005E7D"/>
    <w:rsid w:val="000112A3"/>
    <w:rsid w:val="00011FD0"/>
    <w:rsid w:val="000156B0"/>
    <w:rsid w:val="00024CDC"/>
    <w:rsid w:val="00027D27"/>
    <w:rsid w:val="00032576"/>
    <w:rsid w:val="000341A1"/>
    <w:rsid w:val="00036D47"/>
    <w:rsid w:val="00041CA9"/>
    <w:rsid w:val="00042C03"/>
    <w:rsid w:val="000441F5"/>
    <w:rsid w:val="0005412A"/>
    <w:rsid w:val="00055398"/>
    <w:rsid w:val="00056CDA"/>
    <w:rsid w:val="00061CD0"/>
    <w:rsid w:val="000643E0"/>
    <w:rsid w:val="00066FA3"/>
    <w:rsid w:val="0008043E"/>
    <w:rsid w:val="00081247"/>
    <w:rsid w:val="00081379"/>
    <w:rsid w:val="00082382"/>
    <w:rsid w:val="000835BE"/>
    <w:rsid w:val="00084E8E"/>
    <w:rsid w:val="000858DC"/>
    <w:rsid w:val="000878A1"/>
    <w:rsid w:val="00090314"/>
    <w:rsid w:val="00092058"/>
    <w:rsid w:val="00092DE3"/>
    <w:rsid w:val="00097BE6"/>
    <w:rsid w:val="000A16F7"/>
    <w:rsid w:val="000A447C"/>
    <w:rsid w:val="000A6402"/>
    <w:rsid w:val="000A6E02"/>
    <w:rsid w:val="000B0A00"/>
    <w:rsid w:val="000B0CF7"/>
    <w:rsid w:val="000B1C17"/>
    <w:rsid w:val="000B4E1B"/>
    <w:rsid w:val="000C477C"/>
    <w:rsid w:val="000C665B"/>
    <w:rsid w:val="000D245F"/>
    <w:rsid w:val="000D6B1F"/>
    <w:rsid w:val="000E1820"/>
    <w:rsid w:val="000E63CB"/>
    <w:rsid w:val="000F149D"/>
    <w:rsid w:val="000F4A35"/>
    <w:rsid w:val="00101E04"/>
    <w:rsid w:val="001024F0"/>
    <w:rsid w:val="00102F0A"/>
    <w:rsid w:val="00103041"/>
    <w:rsid w:val="001043AE"/>
    <w:rsid w:val="00110BB6"/>
    <w:rsid w:val="00111C3B"/>
    <w:rsid w:val="00113D24"/>
    <w:rsid w:val="0012262B"/>
    <w:rsid w:val="001311BF"/>
    <w:rsid w:val="00132252"/>
    <w:rsid w:val="001328F6"/>
    <w:rsid w:val="00136815"/>
    <w:rsid w:val="00137CEF"/>
    <w:rsid w:val="00141F89"/>
    <w:rsid w:val="001467BB"/>
    <w:rsid w:val="00146A1B"/>
    <w:rsid w:val="0015028F"/>
    <w:rsid w:val="001526D8"/>
    <w:rsid w:val="00155540"/>
    <w:rsid w:val="00157538"/>
    <w:rsid w:val="00160D59"/>
    <w:rsid w:val="00175CFF"/>
    <w:rsid w:val="00175E6E"/>
    <w:rsid w:val="00180A2D"/>
    <w:rsid w:val="00183D98"/>
    <w:rsid w:val="0018488D"/>
    <w:rsid w:val="00186ABC"/>
    <w:rsid w:val="001871FF"/>
    <w:rsid w:val="001902F3"/>
    <w:rsid w:val="001931C6"/>
    <w:rsid w:val="001944C3"/>
    <w:rsid w:val="001A3777"/>
    <w:rsid w:val="001A3982"/>
    <w:rsid w:val="001C011C"/>
    <w:rsid w:val="001C42FD"/>
    <w:rsid w:val="001C591A"/>
    <w:rsid w:val="001C5CD1"/>
    <w:rsid w:val="001E1B83"/>
    <w:rsid w:val="001E3AB1"/>
    <w:rsid w:val="001E5D07"/>
    <w:rsid w:val="001E600F"/>
    <w:rsid w:val="001E7BE7"/>
    <w:rsid w:val="00200DD4"/>
    <w:rsid w:val="002024EB"/>
    <w:rsid w:val="00205743"/>
    <w:rsid w:val="00211891"/>
    <w:rsid w:val="00211B9E"/>
    <w:rsid w:val="00216C2A"/>
    <w:rsid w:val="00222C1F"/>
    <w:rsid w:val="00224C75"/>
    <w:rsid w:val="00224DD3"/>
    <w:rsid w:val="0022758D"/>
    <w:rsid w:val="00237C63"/>
    <w:rsid w:val="00242A39"/>
    <w:rsid w:val="00244833"/>
    <w:rsid w:val="00244E22"/>
    <w:rsid w:val="00245330"/>
    <w:rsid w:val="00246E1F"/>
    <w:rsid w:val="0024768C"/>
    <w:rsid w:val="00247CA9"/>
    <w:rsid w:val="00255008"/>
    <w:rsid w:val="002564F8"/>
    <w:rsid w:val="0025728F"/>
    <w:rsid w:val="0026283E"/>
    <w:rsid w:val="00262990"/>
    <w:rsid w:val="002670E7"/>
    <w:rsid w:val="002707D0"/>
    <w:rsid w:val="00270EC8"/>
    <w:rsid w:val="00271C61"/>
    <w:rsid w:val="00273FB9"/>
    <w:rsid w:val="002744F8"/>
    <w:rsid w:val="002807B2"/>
    <w:rsid w:val="00280E95"/>
    <w:rsid w:val="0028265D"/>
    <w:rsid w:val="002827DC"/>
    <w:rsid w:val="00284034"/>
    <w:rsid w:val="0029408A"/>
    <w:rsid w:val="0029588D"/>
    <w:rsid w:val="002A155E"/>
    <w:rsid w:val="002A1DB8"/>
    <w:rsid w:val="002A228F"/>
    <w:rsid w:val="002A2357"/>
    <w:rsid w:val="002A243C"/>
    <w:rsid w:val="002A2912"/>
    <w:rsid w:val="002A3A8C"/>
    <w:rsid w:val="002A3BC3"/>
    <w:rsid w:val="002A5899"/>
    <w:rsid w:val="002B1910"/>
    <w:rsid w:val="002B2851"/>
    <w:rsid w:val="002B3769"/>
    <w:rsid w:val="002B6225"/>
    <w:rsid w:val="002B6343"/>
    <w:rsid w:val="002B673E"/>
    <w:rsid w:val="002C146C"/>
    <w:rsid w:val="002C32D0"/>
    <w:rsid w:val="002C36D6"/>
    <w:rsid w:val="002C3C4E"/>
    <w:rsid w:val="002C6357"/>
    <w:rsid w:val="002D1691"/>
    <w:rsid w:val="002D2F9B"/>
    <w:rsid w:val="002D38BD"/>
    <w:rsid w:val="002D58AA"/>
    <w:rsid w:val="002E0D47"/>
    <w:rsid w:val="002F21E0"/>
    <w:rsid w:val="002F2773"/>
    <w:rsid w:val="002F2CC8"/>
    <w:rsid w:val="002F3802"/>
    <w:rsid w:val="002F49B0"/>
    <w:rsid w:val="002F5A23"/>
    <w:rsid w:val="0031056B"/>
    <w:rsid w:val="00324D17"/>
    <w:rsid w:val="003263B4"/>
    <w:rsid w:val="00326ABC"/>
    <w:rsid w:val="00332F2B"/>
    <w:rsid w:val="00334B91"/>
    <w:rsid w:val="00341D7C"/>
    <w:rsid w:val="00342CC4"/>
    <w:rsid w:val="00351EC7"/>
    <w:rsid w:val="00356AA6"/>
    <w:rsid w:val="00362ACD"/>
    <w:rsid w:val="003678EB"/>
    <w:rsid w:val="003718A1"/>
    <w:rsid w:val="003800E0"/>
    <w:rsid w:val="00382E44"/>
    <w:rsid w:val="003874AD"/>
    <w:rsid w:val="0039370F"/>
    <w:rsid w:val="00394F60"/>
    <w:rsid w:val="00397C76"/>
    <w:rsid w:val="00397CDF"/>
    <w:rsid w:val="00397E79"/>
    <w:rsid w:val="003A1DA8"/>
    <w:rsid w:val="003A7652"/>
    <w:rsid w:val="003B74B8"/>
    <w:rsid w:val="003B7A4D"/>
    <w:rsid w:val="003C5F87"/>
    <w:rsid w:val="003D0682"/>
    <w:rsid w:val="003D32B5"/>
    <w:rsid w:val="003E19E7"/>
    <w:rsid w:val="003E301A"/>
    <w:rsid w:val="003E3405"/>
    <w:rsid w:val="003E4D96"/>
    <w:rsid w:val="003E68EE"/>
    <w:rsid w:val="003F18E9"/>
    <w:rsid w:val="003F5306"/>
    <w:rsid w:val="00402469"/>
    <w:rsid w:val="00403804"/>
    <w:rsid w:val="00413B66"/>
    <w:rsid w:val="004221F1"/>
    <w:rsid w:val="004223C3"/>
    <w:rsid w:val="0042695B"/>
    <w:rsid w:val="004305D1"/>
    <w:rsid w:val="00431DDC"/>
    <w:rsid w:val="00435A35"/>
    <w:rsid w:val="00437205"/>
    <w:rsid w:val="00441992"/>
    <w:rsid w:val="00443C68"/>
    <w:rsid w:val="0045167F"/>
    <w:rsid w:val="00452A4E"/>
    <w:rsid w:val="00453516"/>
    <w:rsid w:val="004569C4"/>
    <w:rsid w:val="0046002E"/>
    <w:rsid w:val="0046122B"/>
    <w:rsid w:val="0046131A"/>
    <w:rsid w:val="00472B65"/>
    <w:rsid w:val="00475420"/>
    <w:rsid w:val="00481221"/>
    <w:rsid w:val="00486C7B"/>
    <w:rsid w:val="004910D1"/>
    <w:rsid w:val="00491577"/>
    <w:rsid w:val="00492CD5"/>
    <w:rsid w:val="00496474"/>
    <w:rsid w:val="00496E64"/>
    <w:rsid w:val="0049790D"/>
    <w:rsid w:val="004A054C"/>
    <w:rsid w:val="004A0FB0"/>
    <w:rsid w:val="004A1831"/>
    <w:rsid w:val="004A462F"/>
    <w:rsid w:val="004B1184"/>
    <w:rsid w:val="004B3524"/>
    <w:rsid w:val="004B3592"/>
    <w:rsid w:val="004B41D8"/>
    <w:rsid w:val="004B439E"/>
    <w:rsid w:val="004B54DC"/>
    <w:rsid w:val="004C26C9"/>
    <w:rsid w:val="004C27A5"/>
    <w:rsid w:val="004D4DC2"/>
    <w:rsid w:val="004D6735"/>
    <w:rsid w:val="004D7933"/>
    <w:rsid w:val="004E2D92"/>
    <w:rsid w:val="004E4430"/>
    <w:rsid w:val="0050062A"/>
    <w:rsid w:val="00510AB4"/>
    <w:rsid w:val="005110D6"/>
    <w:rsid w:val="005128F6"/>
    <w:rsid w:val="005142D4"/>
    <w:rsid w:val="00520431"/>
    <w:rsid w:val="005216F9"/>
    <w:rsid w:val="00531DFE"/>
    <w:rsid w:val="00532A4F"/>
    <w:rsid w:val="00533E74"/>
    <w:rsid w:val="00545204"/>
    <w:rsid w:val="0054564B"/>
    <w:rsid w:val="00554A25"/>
    <w:rsid w:val="00563932"/>
    <w:rsid w:val="00565A35"/>
    <w:rsid w:val="005708FA"/>
    <w:rsid w:val="00572042"/>
    <w:rsid w:val="0057214C"/>
    <w:rsid w:val="005749DC"/>
    <w:rsid w:val="005763FD"/>
    <w:rsid w:val="00576511"/>
    <w:rsid w:val="0058429B"/>
    <w:rsid w:val="00584A0D"/>
    <w:rsid w:val="005913FA"/>
    <w:rsid w:val="00593AED"/>
    <w:rsid w:val="00594B28"/>
    <w:rsid w:val="00594E75"/>
    <w:rsid w:val="00595053"/>
    <w:rsid w:val="00597234"/>
    <w:rsid w:val="005A2A1F"/>
    <w:rsid w:val="005B1C8D"/>
    <w:rsid w:val="005B2EB2"/>
    <w:rsid w:val="005B3799"/>
    <w:rsid w:val="005B4D1B"/>
    <w:rsid w:val="005C106C"/>
    <w:rsid w:val="005C3F5B"/>
    <w:rsid w:val="005C6F93"/>
    <w:rsid w:val="005C7B36"/>
    <w:rsid w:val="005D0E20"/>
    <w:rsid w:val="005D412B"/>
    <w:rsid w:val="005E7E1B"/>
    <w:rsid w:val="005F158E"/>
    <w:rsid w:val="005F6969"/>
    <w:rsid w:val="00602534"/>
    <w:rsid w:val="00606A27"/>
    <w:rsid w:val="006150EC"/>
    <w:rsid w:val="00623139"/>
    <w:rsid w:val="0063200F"/>
    <w:rsid w:val="006356EC"/>
    <w:rsid w:val="00640123"/>
    <w:rsid w:val="006422C3"/>
    <w:rsid w:val="00643E16"/>
    <w:rsid w:val="00644F79"/>
    <w:rsid w:val="00646202"/>
    <w:rsid w:val="00646B79"/>
    <w:rsid w:val="00650AE3"/>
    <w:rsid w:val="00651371"/>
    <w:rsid w:val="00655F58"/>
    <w:rsid w:val="0065798E"/>
    <w:rsid w:val="00662064"/>
    <w:rsid w:val="00662DBC"/>
    <w:rsid w:val="00664E54"/>
    <w:rsid w:val="006742EF"/>
    <w:rsid w:val="006753EF"/>
    <w:rsid w:val="0068258E"/>
    <w:rsid w:val="00682B19"/>
    <w:rsid w:val="0068432D"/>
    <w:rsid w:val="00685D02"/>
    <w:rsid w:val="00687834"/>
    <w:rsid w:val="0069338C"/>
    <w:rsid w:val="00697D82"/>
    <w:rsid w:val="006A4C96"/>
    <w:rsid w:val="006A586C"/>
    <w:rsid w:val="006A5FC6"/>
    <w:rsid w:val="006B002C"/>
    <w:rsid w:val="006B141E"/>
    <w:rsid w:val="006B2F4E"/>
    <w:rsid w:val="006C0166"/>
    <w:rsid w:val="006C0204"/>
    <w:rsid w:val="006C2DD6"/>
    <w:rsid w:val="006C2F93"/>
    <w:rsid w:val="006C5698"/>
    <w:rsid w:val="006D2479"/>
    <w:rsid w:val="006D7497"/>
    <w:rsid w:val="006E64A2"/>
    <w:rsid w:val="006F2201"/>
    <w:rsid w:val="006F6624"/>
    <w:rsid w:val="007034BD"/>
    <w:rsid w:val="00705385"/>
    <w:rsid w:val="00715618"/>
    <w:rsid w:val="00716973"/>
    <w:rsid w:val="00717722"/>
    <w:rsid w:val="0072103C"/>
    <w:rsid w:val="00724AA9"/>
    <w:rsid w:val="007257B7"/>
    <w:rsid w:val="007261B5"/>
    <w:rsid w:val="00727264"/>
    <w:rsid w:val="007335EE"/>
    <w:rsid w:val="0073599E"/>
    <w:rsid w:val="00737E36"/>
    <w:rsid w:val="00740D59"/>
    <w:rsid w:val="0074393E"/>
    <w:rsid w:val="00750FAC"/>
    <w:rsid w:val="0075434D"/>
    <w:rsid w:val="007548EF"/>
    <w:rsid w:val="00771F1A"/>
    <w:rsid w:val="00772E6E"/>
    <w:rsid w:val="007755DB"/>
    <w:rsid w:val="00777B63"/>
    <w:rsid w:val="00781193"/>
    <w:rsid w:val="007827B0"/>
    <w:rsid w:val="00790922"/>
    <w:rsid w:val="00795F1D"/>
    <w:rsid w:val="00796A0C"/>
    <w:rsid w:val="007A3DE9"/>
    <w:rsid w:val="007A5855"/>
    <w:rsid w:val="007A768A"/>
    <w:rsid w:val="007B1767"/>
    <w:rsid w:val="007B6848"/>
    <w:rsid w:val="007B78BB"/>
    <w:rsid w:val="007C278D"/>
    <w:rsid w:val="007C6A35"/>
    <w:rsid w:val="007D19A8"/>
    <w:rsid w:val="007D29EA"/>
    <w:rsid w:val="007D5B3F"/>
    <w:rsid w:val="007D735A"/>
    <w:rsid w:val="007E0C89"/>
    <w:rsid w:val="007E0EB8"/>
    <w:rsid w:val="007E1A48"/>
    <w:rsid w:val="007F2952"/>
    <w:rsid w:val="007F3386"/>
    <w:rsid w:val="007F6E33"/>
    <w:rsid w:val="00802F23"/>
    <w:rsid w:val="00805B39"/>
    <w:rsid w:val="00805C39"/>
    <w:rsid w:val="00805D8E"/>
    <w:rsid w:val="008075F8"/>
    <w:rsid w:val="00811237"/>
    <w:rsid w:val="00814F66"/>
    <w:rsid w:val="00820C79"/>
    <w:rsid w:val="00823E7A"/>
    <w:rsid w:val="0082727E"/>
    <w:rsid w:val="00837002"/>
    <w:rsid w:val="008407A1"/>
    <w:rsid w:val="0084452B"/>
    <w:rsid w:val="008449F5"/>
    <w:rsid w:val="00847A42"/>
    <w:rsid w:val="008570EA"/>
    <w:rsid w:val="00857C99"/>
    <w:rsid w:val="008744AC"/>
    <w:rsid w:val="00881D0E"/>
    <w:rsid w:val="0088504F"/>
    <w:rsid w:val="00890393"/>
    <w:rsid w:val="00891C53"/>
    <w:rsid w:val="00891F9D"/>
    <w:rsid w:val="008923D2"/>
    <w:rsid w:val="00892601"/>
    <w:rsid w:val="008A35F7"/>
    <w:rsid w:val="008A74B7"/>
    <w:rsid w:val="008B2E05"/>
    <w:rsid w:val="008B3FA8"/>
    <w:rsid w:val="008B4BB8"/>
    <w:rsid w:val="008B521A"/>
    <w:rsid w:val="008B5920"/>
    <w:rsid w:val="008B70CF"/>
    <w:rsid w:val="008C1521"/>
    <w:rsid w:val="008C4322"/>
    <w:rsid w:val="008C4BE5"/>
    <w:rsid w:val="008C6841"/>
    <w:rsid w:val="008C7DC5"/>
    <w:rsid w:val="008D228A"/>
    <w:rsid w:val="008E7409"/>
    <w:rsid w:val="008E7E41"/>
    <w:rsid w:val="008F1DEB"/>
    <w:rsid w:val="008F2813"/>
    <w:rsid w:val="008F7536"/>
    <w:rsid w:val="00902F0B"/>
    <w:rsid w:val="0090310D"/>
    <w:rsid w:val="0090364F"/>
    <w:rsid w:val="00905F1D"/>
    <w:rsid w:val="0091276F"/>
    <w:rsid w:val="00922842"/>
    <w:rsid w:val="009256CD"/>
    <w:rsid w:val="00925BBF"/>
    <w:rsid w:val="00932B5D"/>
    <w:rsid w:val="009350CA"/>
    <w:rsid w:val="00936934"/>
    <w:rsid w:val="009414D8"/>
    <w:rsid w:val="009454AA"/>
    <w:rsid w:val="00947CAD"/>
    <w:rsid w:val="00950891"/>
    <w:rsid w:val="0096039D"/>
    <w:rsid w:val="00962490"/>
    <w:rsid w:val="009632AC"/>
    <w:rsid w:val="00967142"/>
    <w:rsid w:val="0097354F"/>
    <w:rsid w:val="0097454E"/>
    <w:rsid w:val="00975798"/>
    <w:rsid w:val="00975FE1"/>
    <w:rsid w:val="009A05AF"/>
    <w:rsid w:val="009A1178"/>
    <w:rsid w:val="009A1B9B"/>
    <w:rsid w:val="009B35B5"/>
    <w:rsid w:val="009B3607"/>
    <w:rsid w:val="009C0BBA"/>
    <w:rsid w:val="009C469B"/>
    <w:rsid w:val="009C48B8"/>
    <w:rsid w:val="009C77A0"/>
    <w:rsid w:val="009D33EA"/>
    <w:rsid w:val="009E2913"/>
    <w:rsid w:val="009E29CB"/>
    <w:rsid w:val="009F0ECD"/>
    <w:rsid w:val="009F218A"/>
    <w:rsid w:val="009F40EA"/>
    <w:rsid w:val="009F7B43"/>
    <w:rsid w:val="00A0058A"/>
    <w:rsid w:val="00A01991"/>
    <w:rsid w:val="00A02980"/>
    <w:rsid w:val="00A1166C"/>
    <w:rsid w:val="00A1553D"/>
    <w:rsid w:val="00A20C54"/>
    <w:rsid w:val="00A313CC"/>
    <w:rsid w:val="00A3175E"/>
    <w:rsid w:val="00A31AD3"/>
    <w:rsid w:val="00A32708"/>
    <w:rsid w:val="00A401EB"/>
    <w:rsid w:val="00A4693C"/>
    <w:rsid w:val="00A5315D"/>
    <w:rsid w:val="00A53B51"/>
    <w:rsid w:val="00A604A4"/>
    <w:rsid w:val="00A60C38"/>
    <w:rsid w:val="00A64369"/>
    <w:rsid w:val="00A82941"/>
    <w:rsid w:val="00A8531F"/>
    <w:rsid w:val="00A876E7"/>
    <w:rsid w:val="00A9131A"/>
    <w:rsid w:val="00A94C98"/>
    <w:rsid w:val="00A96549"/>
    <w:rsid w:val="00A97146"/>
    <w:rsid w:val="00AA0BF8"/>
    <w:rsid w:val="00AA4522"/>
    <w:rsid w:val="00AB0851"/>
    <w:rsid w:val="00AB2129"/>
    <w:rsid w:val="00AB4B1B"/>
    <w:rsid w:val="00AB62F7"/>
    <w:rsid w:val="00AC4161"/>
    <w:rsid w:val="00AC5A0E"/>
    <w:rsid w:val="00AC6554"/>
    <w:rsid w:val="00AD2DB7"/>
    <w:rsid w:val="00AD3B1F"/>
    <w:rsid w:val="00AD49CA"/>
    <w:rsid w:val="00AD7833"/>
    <w:rsid w:val="00AE1385"/>
    <w:rsid w:val="00AE179A"/>
    <w:rsid w:val="00AE5377"/>
    <w:rsid w:val="00AE5577"/>
    <w:rsid w:val="00AE5D9F"/>
    <w:rsid w:val="00AE674D"/>
    <w:rsid w:val="00AF10FE"/>
    <w:rsid w:val="00AF3432"/>
    <w:rsid w:val="00AF3DA0"/>
    <w:rsid w:val="00AF444C"/>
    <w:rsid w:val="00AF565A"/>
    <w:rsid w:val="00AF65B9"/>
    <w:rsid w:val="00B0368E"/>
    <w:rsid w:val="00B05387"/>
    <w:rsid w:val="00B100B0"/>
    <w:rsid w:val="00B14652"/>
    <w:rsid w:val="00B154DE"/>
    <w:rsid w:val="00B16451"/>
    <w:rsid w:val="00B17D62"/>
    <w:rsid w:val="00B229B6"/>
    <w:rsid w:val="00B327A6"/>
    <w:rsid w:val="00B359F8"/>
    <w:rsid w:val="00B35DAB"/>
    <w:rsid w:val="00B35EEB"/>
    <w:rsid w:val="00B5469C"/>
    <w:rsid w:val="00B55166"/>
    <w:rsid w:val="00B5561B"/>
    <w:rsid w:val="00B55F33"/>
    <w:rsid w:val="00B56D24"/>
    <w:rsid w:val="00B61E84"/>
    <w:rsid w:val="00B64961"/>
    <w:rsid w:val="00B64A94"/>
    <w:rsid w:val="00B65328"/>
    <w:rsid w:val="00B663A9"/>
    <w:rsid w:val="00B67C10"/>
    <w:rsid w:val="00B73E46"/>
    <w:rsid w:val="00B816A2"/>
    <w:rsid w:val="00B84619"/>
    <w:rsid w:val="00B84A90"/>
    <w:rsid w:val="00B85BA9"/>
    <w:rsid w:val="00B91793"/>
    <w:rsid w:val="00B920D6"/>
    <w:rsid w:val="00B94B54"/>
    <w:rsid w:val="00BA0273"/>
    <w:rsid w:val="00BA0CC6"/>
    <w:rsid w:val="00BA22E4"/>
    <w:rsid w:val="00BA4C2D"/>
    <w:rsid w:val="00BC0704"/>
    <w:rsid w:val="00BC12F9"/>
    <w:rsid w:val="00BC1374"/>
    <w:rsid w:val="00BC2750"/>
    <w:rsid w:val="00BC3DD5"/>
    <w:rsid w:val="00BD4C9A"/>
    <w:rsid w:val="00BD7DAE"/>
    <w:rsid w:val="00BE70F8"/>
    <w:rsid w:val="00BF07C7"/>
    <w:rsid w:val="00BF68E1"/>
    <w:rsid w:val="00C01AA8"/>
    <w:rsid w:val="00C02CFB"/>
    <w:rsid w:val="00C22A9C"/>
    <w:rsid w:val="00C2753E"/>
    <w:rsid w:val="00C27A77"/>
    <w:rsid w:val="00C30BC0"/>
    <w:rsid w:val="00C31744"/>
    <w:rsid w:val="00C3331B"/>
    <w:rsid w:val="00C3563A"/>
    <w:rsid w:val="00C36E08"/>
    <w:rsid w:val="00C50C63"/>
    <w:rsid w:val="00C57AE6"/>
    <w:rsid w:val="00C647FC"/>
    <w:rsid w:val="00C67EE2"/>
    <w:rsid w:val="00C71341"/>
    <w:rsid w:val="00C73B49"/>
    <w:rsid w:val="00C76A36"/>
    <w:rsid w:val="00C81C88"/>
    <w:rsid w:val="00C826FD"/>
    <w:rsid w:val="00C85371"/>
    <w:rsid w:val="00C85760"/>
    <w:rsid w:val="00C86157"/>
    <w:rsid w:val="00CA52EC"/>
    <w:rsid w:val="00CB1613"/>
    <w:rsid w:val="00CB1B08"/>
    <w:rsid w:val="00CB3564"/>
    <w:rsid w:val="00CC579C"/>
    <w:rsid w:val="00CC715D"/>
    <w:rsid w:val="00CD03E5"/>
    <w:rsid w:val="00CD1666"/>
    <w:rsid w:val="00CD1785"/>
    <w:rsid w:val="00CD1AC9"/>
    <w:rsid w:val="00CD3C22"/>
    <w:rsid w:val="00CD4733"/>
    <w:rsid w:val="00CD54BB"/>
    <w:rsid w:val="00CD78D1"/>
    <w:rsid w:val="00CE18D8"/>
    <w:rsid w:val="00CE5F18"/>
    <w:rsid w:val="00CF356B"/>
    <w:rsid w:val="00CF412E"/>
    <w:rsid w:val="00CF5AE7"/>
    <w:rsid w:val="00D00BF2"/>
    <w:rsid w:val="00D05836"/>
    <w:rsid w:val="00D128C1"/>
    <w:rsid w:val="00D16C80"/>
    <w:rsid w:val="00D16D93"/>
    <w:rsid w:val="00D17CEC"/>
    <w:rsid w:val="00D17FF8"/>
    <w:rsid w:val="00D22269"/>
    <w:rsid w:val="00D25313"/>
    <w:rsid w:val="00D25A63"/>
    <w:rsid w:val="00D310BC"/>
    <w:rsid w:val="00D345B5"/>
    <w:rsid w:val="00D368B3"/>
    <w:rsid w:val="00D3768C"/>
    <w:rsid w:val="00D40FF0"/>
    <w:rsid w:val="00D43DA5"/>
    <w:rsid w:val="00D52D43"/>
    <w:rsid w:val="00D52F9A"/>
    <w:rsid w:val="00D56D7C"/>
    <w:rsid w:val="00D56ED1"/>
    <w:rsid w:val="00D57207"/>
    <w:rsid w:val="00D62DE8"/>
    <w:rsid w:val="00D62EEC"/>
    <w:rsid w:val="00D644CA"/>
    <w:rsid w:val="00D674B4"/>
    <w:rsid w:val="00D677A4"/>
    <w:rsid w:val="00D706E6"/>
    <w:rsid w:val="00D708B4"/>
    <w:rsid w:val="00D70B5C"/>
    <w:rsid w:val="00D7719A"/>
    <w:rsid w:val="00D843FE"/>
    <w:rsid w:val="00D86A17"/>
    <w:rsid w:val="00D86A9D"/>
    <w:rsid w:val="00D95F04"/>
    <w:rsid w:val="00D969C4"/>
    <w:rsid w:val="00DA1A04"/>
    <w:rsid w:val="00DA202F"/>
    <w:rsid w:val="00DA377D"/>
    <w:rsid w:val="00DA6AF0"/>
    <w:rsid w:val="00DA6F9D"/>
    <w:rsid w:val="00DB217C"/>
    <w:rsid w:val="00DC0967"/>
    <w:rsid w:val="00DC15AC"/>
    <w:rsid w:val="00DC4D6B"/>
    <w:rsid w:val="00DC55BB"/>
    <w:rsid w:val="00DD0967"/>
    <w:rsid w:val="00DD322D"/>
    <w:rsid w:val="00DD6049"/>
    <w:rsid w:val="00DE04F3"/>
    <w:rsid w:val="00DF10EE"/>
    <w:rsid w:val="00DF44B0"/>
    <w:rsid w:val="00DF5B61"/>
    <w:rsid w:val="00E00688"/>
    <w:rsid w:val="00E047DE"/>
    <w:rsid w:val="00E10100"/>
    <w:rsid w:val="00E11230"/>
    <w:rsid w:val="00E13EBD"/>
    <w:rsid w:val="00E1544F"/>
    <w:rsid w:val="00E157B0"/>
    <w:rsid w:val="00E16B19"/>
    <w:rsid w:val="00E20BB7"/>
    <w:rsid w:val="00E20E0C"/>
    <w:rsid w:val="00E21B74"/>
    <w:rsid w:val="00E234E2"/>
    <w:rsid w:val="00E30164"/>
    <w:rsid w:val="00E33BB3"/>
    <w:rsid w:val="00E34096"/>
    <w:rsid w:val="00E35481"/>
    <w:rsid w:val="00E36469"/>
    <w:rsid w:val="00E450A8"/>
    <w:rsid w:val="00E46E15"/>
    <w:rsid w:val="00E550DF"/>
    <w:rsid w:val="00E60923"/>
    <w:rsid w:val="00E62127"/>
    <w:rsid w:val="00E62B04"/>
    <w:rsid w:val="00E6473E"/>
    <w:rsid w:val="00E66008"/>
    <w:rsid w:val="00E7089C"/>
    <w:rsid w:val="00E70BD4"/>
    <w:rsid w:val="00E7154C"/>
    <w:rsid w:val="00E72534"/>
    <w:rsid w:val="00E76665"/>
    <w:rsid w:val="00E7776D"/>
    <w:rsid w:val="00E81844"/>
    <w:rsid w:val="00E82797"/>
    <w:rsid w:val="00E83D51"/>
    <w:rsid w:val="00E84C73"/>
    <w:rsid w:val="00E9531C"/>
    <w:rsid w:val="00EA0CC1"/>
    <w:rsid w:val="00EA32F0"/>
    <w:rsid w:val="00EA613D"/>
    <w:rsid w:val="00EB1851"/>
    <w:rsid w:val="00EB7C8D"/>
    <w:rsid w:val="00EC42C6"/>
    <w:rsid w:val="00EC5418"/>
    <w:rsid w:val="00EC6EB3"/>
    <w:rsid w:val="00ED08CF"/>
    <w:rsid w:val="00ED0DF3"/>
    <w:rsid w:val="00ED1199"/>
    <w:rsid w:val="00ED1EC9"/>
    <w:rsid w:val="00ED5CD0"/>
    <w:rsid w:val="00EE3287"/>
    <w:rsid w:val="00EE3CE6"/>
    <w:rsid w:val="00EF0FA7"/>
    <w:rsid w:val="00EF4AB8"/>
    <w:rsid w:val="00EF5531"/>
    <w:rsid w:val="00EF5F2E"/>
    <w:rsid w:val="00EF6712"/>
    <w:rsid w:val="00F002E1"/>
    <w:rsid w:val="00F0560B"/>
    <w:rsid w:val="00F1028D"/>
    <w:rsid w:val="00F102A1"/>
    <w:rsid w:val="00F114C5"/>
    <w:rsid w:val="00F1230B"/>
    <w:rsid w:val="00F1280C"/>
    <w:rsid w:val="00F1582D"/>
    <w:rsid w:val="00F16F94"/>
    <w:rsid w:val="00F2007C"/>
    <w:rsid w:val="00F243C1"/>
    <w:rsid w:val="00F2769B"/>
    <w:rsid w:val="00F351E4"/>
    <w:rsid w:val="00F41533"/>
    <w:rsid w:val="00F42D99"/>
    <w:rsid w:val="00F45B70"/>
    <w:rsid w:val="00F51874"/>
    <w:rsid w:val="00F56CF9"/>
    <w:rsid w:val="00F65922"/>
    <w:rsid w:val="00F6791F"/>
    <w:rsid w:val="00F75585"/>
    <w:rsid w:val="00F76EB6"/>
    <w:rsid w:val="00F77E9A"/>
    <w:rsid w:val="00F81028"/>
    <w:rsid w:val="00F8405D"/>
    <w:rsid w:val="00F97054"/>
    <w:rsid w:val="00FA06DB"/>
    <w:rsid w:val="00FA2731"/>
    <w:rsid w:val="00FA30F8"/>
    <w:rsid w:val="00FA7558"/>
    <w:rsid w:val="00FA78E4"/>
    <w:rsid w:val="00FB683C"/>
    <w:rsid w:val="00FC0565"/>
    <w:rsid w:val="00FC2CAD"/>
    <w:rsid w:val="00FD0C24"/>
    <w:rsid w:val="00FD44C8"/>
    <w:rsid w:val="00FD4F7A"/>
    <w:rsid w:val="00FE27AA"/>
    <w:rsid w:val="00FE3FE5"/>
    <w:rsid w:val="00FE7481"/>
    <w:rsid w:val="00FF325B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313DD87"/>
  <w15:docId w15:val="{3FB8FEB6-5367-4CBA-8679-3D2EDDAF0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Document Text Double Spaced"/>
    <w:qFormat/>
    <w:rsid w:val="009F40EA"/>
    <w:pPr>
      <w:spacing w:after="0" w:line="240" w:lineRule="auto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7409"/>
    <w:pPr>
      <w:keepNext/>
      <w:keepLines/>
      <w:spacing w:before="240"/>
      <w:outlineLvl w:val="0"/>
    </w:pPr>
    <w:rPr>
      <w:rFonts w:eastAsiaTheme="majorEastAsia"/>
      <w:b/>
      <w:color w:val="03304B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7409"/>
    <w:pPr>
      <w:keepNext/>
      <w:keepLines/>
      <w:spacing w:before="40"/>
      <w:outlineLvl w:val="1"/>
    </w:pPr>
    <w:rPr>
      <w:rFonts w:eastAsiaTheme="majorEastAsia"/>
      <w:color w:val="03304B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409"/>
    <w:pPr>
      <w:keepNext/>
      <w:keepLines/>
      <w:spacing w:before="40"/>
      <w:outlineLvl w:val="2"/>
    </w:pPr>
    <w:rPr>
      <w:rFonts w:eastAsiaTheme="majorEastAsia"/>
      <w:i/>
      <w:color w:val="03304B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autoRedefine/>
    <w:qFormat/>
    <w:rsid w:val="00847A42"/>
    <w:pPr>
      <w:autoSpaceDE w:val="0"/>
      <w:autoSpaceDN w:val="0"/>
      <w:adjustRightInd w:val="0"/>
      <w:jc w:val="left"/>
    </w:pPr>
    <w:rPr>
      <w:rFonts w:eastAsia="Calibri"/>
      <w:color w:val="000000"/>
      <w:sz w:val="20"/>
    </w:rPr>
  </w:style>
  <w:style w:type="paragraph" w:customStyle="1" w:styleId="TableColumnHeaders">
    <w:name w:val="Table Column Headers"/>
    <w:basedOn w:val="Normal"/>
    <w:qFormat/>
    <w:rsid w:val="00847A42"/>
    <w:pPr>
      <w:jc w:val="right"/>
    </w:pPr>
    <w:rPr>
      <w:b/>
      <w:i/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9"/>
    <w:rsid w:val="008E7409"/>
    <w:rPr>
      <w:rFonts w:ascii="Arial" w:eastAsiaTheme="majorEastAsia" w:hAnsi="Arial" w:cs="Arial"/>
      <w:b/>
      <w:color w:val="03304B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7409"/>
    <w:rPr>
      <w:rFonts w:ascii="Arial" w:eastAsiaTheme="majorEastAsia" w:hAnsi="Arial" w:cs="Arial"/>
      <w:color w:val="03304B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E7409"/>
    <w:rPr>
      <w:rFonts w:ascii="Arial" w:eastAsiaTheme="majorEastAsia" w:hAnsi="Arial" w:cs="Arial"/>
      <w:i/>
      <w:color w:val="03304B"/>
      <w:sz w:val="24"/>
      <w:szCs w:val="24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847A42"/>
    <w:pPr>
      <w:keepNext/>
      <w:spacing w:after="200"/>
    </w:pPr>
    <w:rPr>
      <w:i/>
      <w:iCs/>
      <w:color w:val="03304B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E7409"/>
    <w:pPr>
      <w:contextualSpacing/>
    </w:pPr>
    <w:rPr>
      <w:rFonts w:eastAsiaTheme="majorEastAsia" w:cstheme="majorBidi"/>
      <w:color w:val="03304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7409"/>
    <w:rPr>
      <w:rFonts w:ascii="Arial" w:eastAsiaTheme="majorEastAsia" w:hAnsi="Arial" w:cstheme="majorBidi"/>
      <w:color w:val="03304B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7A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7A42"/>
    <w:rPr>
      <w:rFonts w:ascii="Arial" w:eastAsiaTheme="minorEastAsia" w:hAnsi="Arial" w:cs="Arial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47A42"/>
    <w:rPr>
      <w:rFonts w:ascii="Arial" w:hAnsi="Arial"/>
      <w:b/>
      <w:bCs/>
    </w:rPr>
  </w:style>
  <w:style w:type="character" w:styleId="Emphasis">
    <w:name w:val="Emphasis"/>
    <w:basedOn w:val="DefaultParagraphFont"/>
    <w:uiPriority w:val="20"/>
    <w:qFormat/>
    <w:rsid w:val="00847A42"/>
    <w:rPr>
      <w:rFonts w:ascii="Arial" w:hAnsi="Arial"/>
      <w:b/>
      <w:i/>
      <w:iCs/>
    </w:rPr>
  </w:style>
  <w:style w:type="paragraph" w:styleId="NoSpacing">
    <w:name w:val="No Spacing"/>
    <w:aliases w:val="Document Text Single Spaced"/>
    <w:uiPriority w:val="1"/>
    <w:qFormat/>
    <w:rsid w:val="00847A42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aliases w:val="List Paragraph Subsection"/>
    <w:basedOn w:val="Normal"/>
    <w:link w:val="ListParagraphChar"/>
    <w:uiPriority w:val="34"/>
    <w:qFormat/>
    <w:rsid w:val="00847A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47A4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7A42"/>
    <w:rPr>
      <w:rFonts w:ascii="Arial" w:hAnsi="Arial" w:cs="Arial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7A4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mbria" w:hAnsi="Cambria" w:cstheme="minorBidi"/>
      <w:i/>
      <w:iCs/>
      <w:color w:val="A5002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7A42"/>
    <w:rPr>
      <w:rFonts w:ascii="Cambria" w:hAnsi="Cambria"/>
      <w:i/>
      <w:iCs/>
      <w:color w:val="A50021"/>
    </w:rPr>
  </w:style>
  <w:style w:type="character" w:styleId="SubtleEmphasis">
    <w:name w:val="Subtle Emphasis"/>
    <w:basedOn w:val="DefaultParagraphFont"/>
    <w:uiPriority w:val="19"/>
    <w:qFormat/>
    <w:rsid w:val="00847A42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47A42"/>
    <w:rPr>
      <w:rFonts w:ascii="Arial" w:hAnsi="Arial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847A42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847A42"/>
    <w:rPr>
      <w:rFonts w:ascii="Arial" w:hAnsi="Arial"/>
      <w:b/>
      <w:bCs/>
      <w:smallCaps/>
      <w:color w:val="5B9BD5" w:themeColor="accent1"/>
      <w:spacing w:val="5"/>
    </w:rPr>
  </w:style>
  <w:style w:type="character" w:styleId="BookTitle">
    <w:name w:val="Book Title"/>
    <w:aliases w:val="DFS Page Header"/>
    <w:uiPriority w:val="33"/>
    <w:qFormat/>
    <w:rsid w:val="00847A42"/>
    <w:rPr>
      <w:rFonts w:ascii="Arial" w:hAnsi="Arial"/>
      <w:sz w:val="24"/>
      <w:szCs w:val="24"/>
    </w:rPr>
  </w:style>
  <w:style w:type="paragraph" w:styleId="TOCHeading">
    <w:name w:val="TOC Heading"/>
    <w:aliases w:val="Table of Contents Heading"/>
    <w:basedOn w:val="Heading1"/>
    <w:next w:val="Normal"/>
    <w:uiPriority w:val="39"/>
    <w:unhideWhenUsed/>
    <w:qFormat/>
    <w:rsid w:val="00847A42"/>
    <w:pPr>
      <w:outlineLvl w:val="9"/>
    </w:pPr>
    <w:rPr>
      <w:b w:val="0"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D36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8B3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3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68B3"/>
    <w:rPr>
      <w:rFonts w:ascii="Arial" w:hAnsi="Arial" w:cs="Arial"/>
    </w:rPr>
  </w:style>
  <w:style w:type="table" w:styleId="TableGrid">
    <w:name w:val="Table Grid"/>
    <w:basedOn w:val="TableNormal"/>
    <w:uiPriority w:val="59"/>
    <w:rsid w:val="009F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9F40E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F40E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F40E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9F40E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E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EC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1276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12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1276F"/>
    <w:rPr>
      <w:rFonts w:ascii="Arial" w:hAnsi="Arial" w:cs="Arial"/>
      <w:sz w:val="20"/>
      <w:szCs w:val="20"/>
    </w:rPr>
  </w:style>
  <w:style w:type="paragraph" w:customStyle="1" w:styleId="Deliverable-Cover-Large">
    <w:name w:val="Deliverable-Cover-Large"/>
    <w:basedOn w:val="Normal"/>
    <w:rsid w:val="0091276F"/>
    <w:pPr>
      <w:spacing w:before="100" w:beforeAutospacing="1" w:after="100" w:afterAutospacing="1"/>
      <w:jc w:val="center"/>
    </w:pPr>
    <w:rPr>
      <w:rFonts w:eastAsia="Times New Roman"/>
      <w:b/>
      <w:smallCaps/>
      <w:sz w:val="40"/>
      <w:szCs w:val="40"/>
    </w:rPr>
  </w:style>
  <w:style w:type="paragraph" w:customStyle="1" w:styleId="Deliverable-Body">
    <w:name w:val="Deliverable-Body"/>
    <w:basedOn w:val="Normal"/>
    <w:link w:val="Deliverable-BodyChar"/>
    <w:qFormat/>
    <w:rsid w:val="0091276F"/>
    <w:pPr>
      <w:spacing w:before="100" w:beforeAutospacing="1" w:after="100" w:afterAutospacing="1"/>
      <w:jc w:val="left"/>
    </w:pPr>
    <w:rPr>
      <w:rFonts w:eastAsia="Times New Roman"/>
    </w:rPr>
  </w:style>
  <w:style w:type="character" w:customStyle="1" w:styleId="Deliverable-BodyChar">
    <w:name w:val="Deliverable-Body Char"/>
    <w:link w:val="Deliverable-Body"/>
    <w:rsid w:val="0091276F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CD0"/>
    <w:rPr>
      <w:rFonts w:ascii="Arial" w:hAnsi="Arial" w:cs="Arial"/>
      <w:b/>
      <w:bCs/>
      <w:sz w:val="20"/>
      <w:szCs w:val="20"/>
    </w:rPr>
  </w:style>
  <w:style w:type="character" w:customStyle="1" w:styleId="ListParagraphChar">
    <w:name w:val="List Paragraph Char"/>
    <w:aliases w:val="List Paragraph Subsection Char"/>
    <w:basedOn w:val="DefaultParagraphFont"/>
    <w:link w:val="ListParagraph"/>
    <w:uiPriority w:val="34"/>
    <w:rsid w:val="00084E8E"/>
    <w:rPr>
      <w:rFonts w:ascii="Arial" w:hAnsi="Arial" w:cs="Arial"/>
    </w:rPr>
  </w:style>
  <w:style w:type="paragraph" w:customStyle="1" w:styleId="Deliverable-ListLevel1">
    <w:name w:val="Deliverable-List Level 1"/>
    <w:basedOn w:val="Deliverable-Body"/>
    <w:link w:val="Deliverable-ListLevel1Char"/>
    <w:qFormat/>
    <w:rsid w:val="00905F1D"/>
    <w:pPr>
      <w:numPr>
        <w:numId w:val="2"/>
      </w:numPr>
      <w:spacing w:after="120" w:afterAutospacing="0"/>
    </w:pPr>
    <w:rPr>
      <w:rFonts w:ascii="Cambria" w:hAnsi="Cambria"/>
    </w:rPr>
  </w:style>
  <w:style w:type="paragraph" w:customStyle="1" w:styleId="Deliverable-ListLevel2">
    <w:name w:val="Deliverable-List Level 2"/>
    <w:basedOn w:val="Deliverable-ListLevel1"/>
    <w:link w:val="Deliverable-ListLevel2Char"/>
    <w:qFormat/>
    <w:rsid w:val="00905F1D"/>
    <w:pPr>
      <w:numPr>
        <w:ilvl w:val="1"/>
      </w:numPr>
    </w:pPr>
  </w:style>
  <w:style w:type="paragraph" w:customStyle="1" w:styleId="Deliverable-ListLevel3">
    <w:name w:val="Deliverable-List Level 3"/>
    <w:basedOn w:val="Deliverable-ListLevel2"/>
    <w:qFormat/>
    <w:rsid w:val="00905F1D"/>
    <w:pPr>
      <w:numPr>
        <w:ilvl w:val="2"/>
      </w:numPr>
      <w:tabs>
        <w:tab w:val="clear" w:pos="2160"/>
      </w:tabs>
    </w:pPr>
  </w:style>
  <w:style w:type="character" w:customStyle="1" w:styleId="Deliverable-ListLevel1Char">
    <w:name w:val="Deliverable-List Level 1 Char"/>
    <w:basedOn w:val="Deliverable-BodyChar"/>
    <w:link w:val="Deliverable-ListLevel1"/>
    <w:rsid w:val="00905F1D"/>
    <w:rPr>
      <w:rFonts w:ascii="Cambria" w:eastAsia="Times New Roman" w:hAnsi="Cambria" w:cs="Arial"/>
    </w:rPr>
  </w:style>
  <w:style w:type="character" w:customStyle="1" w:styleId="Deliverable-ListLevel2Char">
    <w:name w:val="Deliverable-List Level 2 Char"/>
    <w:basedOn w:val="Deliverable-ListLevel1Char"/>
    <w:link w:val="Deliverable-ListLevel2"/>
    <w:rsid w:val="00905F1D"/>
    <w:rPr>
      <w:rFonts w:ascii="Cambria" w:eastAsia="Times New Roman" w:hAnsi="Cambria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7A5855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923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923D2"/>
    <w:rPr>
      <w:rFonts w:ascii="Arial" w:hAnsi="Arial" w:cs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2A23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56CDA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779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61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887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3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38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724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23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FloridaPALM@myfloridacfo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57503A7BC364D947C5E95DC033779" ma:contentTypeVersion="0" ma:contentTypeDescription="Create a new document." ma:contentTypeScope="" ma:versionID="a9549d6a5862ac7b154bd4e81407c4d4">
  <xsd:schema xmlns:xsd="http://www.w3.org/2001/XMLSchema" xmlns:xs="http://www.w3.org/2001/XMLSchema" xmlns:p="http://schemas.microsoft.com/office/2006/metadata/properties" xmlns:ns2="c18fadb0-354c-4f74-afa1-8ca5acdaa1a6" targetNamespace="http://schemas.microsoft.com/office/2006/metadata/properties" ma:root="true" ma:fieldsID="e59d885f8c5da744e29dc316cde70ccf" ns2:_="">
    <xsd:import namespace="c18fadb0-354c-4f74-afa1-8ca5acdaa1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fadb0-354c-4f74-afa1-8ca5acdaa1a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8fadb0-354c-4f74-afa1-8ca5acdaa1a6">MXMF2QZJ3CU2-1334459139-1434</_dlc_DocId>
    <_dlc_DocIdUrl xmlns="c18fadb0-354c-4f74-afa1-8ca5acdaa1a6">
      <Url>https://dfsintranet-myfloridacfo.msappproxy.net/capitol/FLPALM/_layouts/DocIdRedir.aspx?ID=MXMF2QZJ3CU2-1334459139-1434</Url>
      <Description>MXMF2QZJ3CU2-1334459139-1434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0A3BD-7495-4DA5-903D-6DC5DA287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8fadb0-354c-4f74-afa1-8ca5acdaa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A890BA-14B1-492B-812A-CE7413EE84F2}">
  <ds:schemaRefs>
    <ds:schemaRef ds:uri="http://purl.org/dc/elements/1.1/"/>
    <ds:schemaRef ds:uri="http://schemas.microsoft.com/office/2006/metadata/properties"/>
    <ds:schemaRef ds:uri="c18fadb0-354c-4f74-afa1-8ca5acdaa1a6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A43B8C-79B5-40E3-A201-973A7B5DE0D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BC40DC-1B27-4EB5-98CC-09EB4CF0FA4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8F536D-54C5-4343-A98C-9A0A2B093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Financial Services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Gotreaux, Julian</dc:creator>
  <cp:keywords/>
  <dc:description/>
  <cp:lastModifiedBy>Budell, Russell</cp:lastModifiedBy>
  <cp:revision>2</cp:revision>
  <cp:lastPrinted>2016-03-22T20:14:00Z</cp:lastPrinted>
  <dcterms:created xsi:type="dcterms:W3CDTF">2019-11-14T18:11:00Z</dcterms:created>
  <dcterms:modified xsi:type="dcterms:W3CDTF">2019-11-14T18:11:00Z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0x0101008CA57503A7BC364D947C5E95DC033779</vt:lpwstr>
  </property>
  <property fmtid="{D5CDD505-2E9C-101B-9397-08002B2CF9AE}" pid="3" name="_dlc_DocIdItemGuid">
    <vt:lpwstr>6d544a30-011c-4e7d-94bf-a74b4c7c996f</vt:lpwstr>
  </property>
</Properties>
</file>