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F8C3" w14:textId="77777777" w:rsidR="00B23E6E" w:rsidRPr="00A5311C" w:rsidRDefault="00B23E6E" w:rsidP="00A5311C">
      <w:pPr>
        <w:spacing w:after="0" w:line="480" w:lineRule="auto"/>
        <w:jc w:val="center"/>
        <w:rPr>
          <w:rFonts w:ascii="Times New Roman" w:eastAsia="Times New Roman" w:hAnsi="Times New Roman"/>
          <w:sz w:val="20"/>
          <w:szCs w:val="20"/>
        </w:rPr>
      </w:pPr>
      <w:r w:rsidRPr="00A5311C">
        <w:rPr>
          <w:rFonts w:ascii="Times New Roman" w:eastAsia="Times New Roman" w:hAnsi="Times New Roman"/>
          <w:sz w:val="20"/>
          <w:szCs w:val="20"/>
        </w:rPr>
        <w:t>Notice of Meeting/Workshop Hearing</w:t>
      </w:r>
    </w:p>
    <w:p w14:paraId="18B13300" w14:textId="77777777" w:rsidR="00B23E6E" w:rsidRPr="00A5311C" w:rsidRDefault="00B23E6E" w:rsidP="00A5311C">
      <w:pPr>
        <w:spacing w:after="0" w:line="480" w:lineRule="auto"/>
        <w:rPr>
          <w:rFonts w:ascii="Times New Roman" w:eastAsia="Times New Roman" w:hAnsi="Times New Roman"/>
          <w:sz w:val="20"/>
          <w:szCs w:val="20"/>
        </w:rPr>
      </w:pPr>
      <w:r w:rsidRPr="00A5311C">
        <w:rPr>
          <w:rFonts w:ascii="Times New Roman" w:eastAsia="Times New Roman" w:hAnsi="Times New Roman"/>
          <w:sz w:val="20"/>
          <w:szCs w:val="20"/>
        </w:rPr>
        <w:t>DEPARTMENT OF FINANCIAL SERVICES</w:t>
      </w:r>
    </w:p>
    <w:p w14:paraId="60FE3887" w14:textId="77777777" w:rsidR="00B23E6E" w:rsidRPr="00A5311C" w:rsidRDefault="00B23E6E" w:rsidP="00A5311C">
      <w:pPr>
        <w:spacing w:after="0" w:line="480" w:lineRule="auto"/>
        <w:rPr>
          <w:rFonts w:ascii="Times New Roman" w:eastAsia="Times New Roman" w:hAnsi="Times New Roman"/>
          <w:sz w:val="20"/>
          <w:szCs w:val="20"/>
        </w:rPr>
      </w:pPr>
      <w:r w:rsidRPr="00A5311C">
        <w:rPr>
          <w:rFonts w:ascii="Times New Roman" w:eastAsia="Times New Roman" w:hAnsi="Times New Roman"/>
          <w:sz w:val="20"/>
          <w:szCs w:val="20"/>
        </w:rPr>
        <w:t xml:space="preserve">Division of </w:t>
      </w:r>
      <w:r w:rsidR="00A5311C" w:rsidRPr="00A5311C">
        <w:rPr>
          <w:rFonts w:ascii="Times New Roman" w:eastAsia="Times New Roman" w:hAnsi="Times New Roman"/>
          <w:sz w:val="20"/>
          <w:szCs w:val="20"/>
        </w:rPr>
        <w:t>State Fire Marshal</w:t>
      </w:r>
    </w:p>
    <w:p w14:paraId="0330D0CE" w14:textId="77777777" w:rsidR="00EA3F65" w:rsidRPr="004529BA" w:rsidRDefault="00EA3F65" w:rsidP="00EA3F65">
      <w:pPr>
        <w:spacing w:after="0" w:line="360" w:lineRule="auto"/>
        <w:jc w:val="both"/>
        <w:rPr>
          <w:rFonts w:ascii="Times New Roman" w:eastAsia="Times New Roman" w:hAnsi="Times New Roman"/>
          <w:sz w:val="20"/>
          <w:szCs w:val="20"/>
        </w:rPr>
      </w:pPr>
      <w:r w:rsidRPr="004529BA">
        <w:rPr>
          <w:rFonts w:ascii="Times New Roman" w:eastAsia="Times New Roman" w:hAnsi="Times New Roman"/>
          <w:sz w:val="20"/>
          <w:szCs w:val="20"/>
        </w:rPr>
        <w:t>RULE NOS.:</w:t>
      </w:r>
      <w:r w:rsidRPr="004529BA">
        <w:rPr>
          <w:rFonts w:ascii="Times New Roman" w:eastAsia="Times New Roman" w:hAnsi="Times New Roman"/>
          <w:sz w:val="20"/>
          <w:szCs w:val="20"/>
        </w:rPr>
        <w:tab/>
        <w:t>RULE TITLES:</w:t>
      </w:r>
    </w:p>
    <w:p w14:paraId="7E7BC781" w14:textId="31F9F07D" w:rsidR="00905824" w:rsidRDefault="00000000" w:rsidP="00EA3F65">
      <w:pPr>
        <w:spacing w:after="0" w:line="480" w:lineRule="auto"/>
        <w:jc w:val="both"/>
        <w:rPr>
          <w:rFonts w:ascii="Times New Roman" w:eastAsia="Times New Roman" w:hAnsi="Times New Roman"/>
          <w:color w:val="000000"/>
          <w:sz w:val="20"/>
          <w:szCs w:val="20"/>
        </w:rPr>
      </w:pPr>
      <w:hyperlink r:id="rId8" w:tgtFrame="ruleNo" w:history="1">
        <w:r w:rsidR="00EA3F65" w:rsidRPr="00C55155">
          <w:rPr>
            <w:rStyle w:val="Hyperlink"/>
            <w:rFonts w:ascii="Times New Roman" w:eastAsia="Times New Roman" w:hAnsi="Times New Roman"/>
            <w:color w:val="000000"/>
            <w:sz w:val="20"/>
            <w:szCs w:val="20"/>
          </w:rPr>
          <w:t>69A-73.001</w:t>
        </w:r>
      </w:hyperlink>
      <w:r w:rsidR="00EA3F65" w:rsidRPr="004529BA">
        <w:rPr>
          <w:rFonts w:ascii="Times New Roman" w:eastAsia="Times New Roman" w:hAnsi="Times New Roman"/>
          <w:color w:val="000000"/>
          <w:sz w:val="20"/>
          <w:szCs w:val="20"/>
        </w:rPr>
        <w:tab/>
      </w:r>
      <w:r w:rsidR="00B95341" w:rsidRPr="007B40C1">
        <w:rPr>
          <w:rFonts w:ascii="Times New Roman" w:eastAsia="Times New Roman" w:hAnsi="Times New Roman"/>
          <w:color w:val="000000"/>
          <w:sz w:val="20"/>
          <w:szCs w:val="20"/>
          <w:u w:val="single"/>
        </w:rPr>
        <w:t>Defi</w:t>
      </w:r>
      <w:r w:rsidR="007B40C1" w:rsidRPr="007B40C1">
        <w:rPr>
          <w:rFonts w:ascii="Times New Roman" w:eastAsia="Times New Roman" w:hAnsi="Times New Roman"/>
          <w:color w:val="000000"/>
          <w:sz w:val="20"/>
          <w:szCs w:val="20"/>
          <w:u w:val="single"/>
        </w:rPr>
        <w:t>nitions</w:t>
      </w:r>
      <w:r w:rsidR="007B40C1">
        <w:rPr>
          <w:rFonts w:ascii="Times New Roman" w:eastAsia="Times New Roman" w:hAnsi="Times New Roman"/>
          <w:color w:val="000000"/>
          <w:sz w:val="20"/>
          <w:szCs w:val="20"/>
          <w:u w:val="single"/>
        </w:rPr>
        <w:t xml:space="preserve"> </w:t>
      </w:r>
      <w:r w:rsidR="00EA3F65" w:rsidRPr="00B95341">
        <w:rPr>
          <w:rFonts w:ascii="Times New Roman" w:eastAsia="Times New Roman" w:hAnsi="Times New Roman"/>
          <w:strike/>
          <w:color w:val="000000"/>
          <w:sz w:val="20"/>
          <w:szCs w:val="20"/>
        </w:rPr>
        <w:t>Energy Storage Systems</w:t>
      </w:r>
    </w:p>
    <w:p w14:paraId="4967E3AB" w14:textId="298D8B5A" w:rsidR="00353837" w:rsidRDefault="00353837" w:rsidP="00EA3F65">
      <w:pPr>
        <w:spacing w:after="0" w:line="480" w:lineRule="auto"/>
        <w:jc w:val="both"/>
        <w:rPr>
          <w:rFonts w:ascii="Times New Roman" w:hAnsi="Times New Roman"/>
          <w:sz w:val="20"/>
          <w:szCs w:val="20"/>
        </w:rPr>
      </w:pPr>
      <w:r w:rsidRPr="007B40C1">
        <w:rPr>
          <w:rFonts w:ascii="Times New Roman" w:eastAsia="Times New Roman" w:hAnsi="Times New Roman"/>
          <w:color w:val="000000"/>
          <w:sz w:val="20"/>
          <w:szCs w:val="20"/>
          <w:u w:val="single"/>
        </w:rPr>
        <w:t>69A-72.002</w:t>
      </w:r>
      <w:r>
        <w:rPr>
          <w:rFonts w:ascii="Times New Roman" w:eastAsia="Times New Roman" w:hAnsi="Times New Roman"/>
          <w:color w:val="000000"/>
          <w:sz w:val="20"/>
          <w:szCs w:val="20"/>
        </w:rPr>
        <w:tab/>
      </w:r>
      <w:r w:rsidR="002246A6" w:rsidRPr="007B40C1">
        <w:rPr>
          <w:rFonts w:ascii="Times New Roman" w:hAnsi="Times New Roman"/>
          <w:sz w:val="20"/>
          <w:szCs w:val="20"/>
          <w:u w:val="single"/>
        </w:rPr>
        <w:t>Energy Storage Systems</w:t>
      </w:r>
    </w:p>
    <w:p w14:paraId="4517D68A" w14:textId="5A931E75" w:rsidR="002246A6" w:rsidRPr="004D720D" w:rsidRDefault="002246A6" w:rsidP="00EA3F65">
      <w:pPr>
        <w:spacing w:after="0" w:line="480" w:lineRule="auto"/>
        <w:jc w:val="both"/>
        <w:rPr>
          <w:rFonts w:ascii="Times New Roman" w:hAnsi="Times New Roman"/>
          <w:sz w:val="20"/>
          <w:szCs w:val="20"/>
        </w:rPr>
      </w:pPr>
      <w:r w:rsidRPr="007B40C1">
        <w:rPr>
          <w:rFonts w:ascii="Times New Roman" w:hAnsi="Times New Roman"/>
          <w:sz w:val="20"/>
          <w:szCs w:val="20"/>
          <w:u w:val="single"/>
        </w:rPr>
        <w:t>69A-73.003</w:t>
      </w:r>
      <w:r w:rsidRPr="004D720D">
        <w:rPr>
          <w:rFonts w:ascii="Times New Roman" w:hAnsi="Times New Roman"/>
          <w:sz w:val="20"/>
          <w:szCs w:val="20"/>
        </w:rPr>
        <w:tab/>
      </w:r>
      <w:r w:rsidR="00A473D7" w:rsidRPr="007B40C1">
        <w:rPr>
          <w:rFonts w:ascii="Times New Roman" w:hAnsi="Times New Roman"/>
          <w:sz w:val="20"/>
          <w:szCs w:val="20"/>
          <w:u w:val="single"/>
        </w:rPr>
        <w:t>Powered Micromobility Devices</w:t>
      </w:r>
    </w:p>
    <w:p w14:paraId="146459A2" w14:textId="45FB06D6" w:rsidR="00A473D7" w:rsidRPr="004D720D" w:rsidRDefault="00A473D7" w:rsidP="00EA3F65">
      <w:pPr>
        <w:spacing w:after="0" w:line="480" w:lineRule="auto"/>
        <w:jc w:val="both"/>
        <w:rPr>
          <w:rFonts w:ascii="Times New Roman" w:hAnsi="Times New Roman"/>
          <w:sz w:val="20"/>
          <w:szCs w:val="20"/>
        </w:rPr>
      </w:pPr>
      <w:r w:rsidRPr="007B40C1">
        <w:rPr>
          <w:rFonts w:ascii="Times New Roman" w:hAnsi="Times New Roman"/>
          <w:sz w:val="20"/>
          <w:szCs w:val="20"/>
          <w:u w:val="single"/>
        </w:rPr>
        <w:t>69A-73.004</w:t>
      </w:r>
      <w:r w:rsidRPr="004D720D">
        <w:rPr>
          <w:rFonts w:ascii="Times New Roman" w:hAnsi="Times New Roman"/>
          <w:sz w:val="20"/>
          <w:szCs w:val="20"/>
        </w:rPr>
        <w:tab/>
      </w:r>
      <w:r w:rsidR="008F5BFE" w:rsidRPr="00C55155">
        <w:rPr>
          <w:rFonts w:ascii="Times New Roman" w:hAnsi="Times New Roman"/>
          <w:sz w:val="20"/>
          <w:szCs w:val="20"/>
          <w:u w:val="single"/>
        </w:rPr>
        <w:t>Protective Systems and Designs</w:t>
      </w:r>
    </w:p>
    <w:p w14:paraId="285EA9E1" w14:textId="56073F36" w:rsidR="008F5BFE" w:rsidRPr="004D720D" w:rsidRDefault="00F1098D" w:rsidP="00EA3F65">
      <w:pPr>
        <w:spacing w:after="0" w:line="480" w:lineRule="auto"/>
        <w:jc w:val="both"/>
        <w:rPr>
          <w:rFonts w:ascii="Times New Roman" w:hAnsi="Times New Roman"/>
          <w:color w:val="000000"/>
          <w:sz w:val="20"/>
          <w:szCs w:val="20"/>
          <w:shd w:val="clear" w:color="auto" w:fill="FFFFFF"/>
        </w:rPr>
      </w:pPr>
      <w:r w:rsidRPr="00C55155">
        <w:rPr>
          <w:rFonts w:ascii="Times New Roman" w:hAnsi="Times New Roman"/>
          <w:color w:val="000000"/>
          <w:sz w:val="20"/>
          <w:szCs w:val="20"/>
          <w:u w:val="single"/>
          <w:shd w:val="clear" w:color="auto" w:fill="FFFFFF"/>
        </w:rPr>
        <w:t>69A-73.005</w:t>
      </w:r>
      <w:r w:rsidRPr="004D720D">
        <w:rPr>
          <w:rFonts w:ascii="Times New Roman" w:hAnsi="Times New Roman"/>
          <w:color w:val="000000"/>
          <w:sz w:val="20"/>
          <w:szCs w:val="20"/>
          <w:shd w:val="clear" w:color="auto" w:fill="FFFFFF"/>
        </w:rPr>
        <w:t xml:space="preserve"> </w:t>
      </w:r>
      <w:r w:rsidR="004D720D">
        <w:rPr>
          <w:rFonts w:ascii="Times New Roman" w:hAnsi="Times New Roman"/>
          <w:color w:val="000000"/>
          <w:sz w:val="20"/>
          <w:szCs w:val="20"/>
          <w:shd w:val="clear" w:color="auto" w:fill="FFFFFF"/>
        </w:rPr>
        <w:tab/>
      </w:r>
      <w:r w:rsidRPr="004D720D">
        <w:rPr>
          <w:rFonts w:ascii="Times New Roman" w:hAnsi="Times New Roman"/>
          <w:color w:val="000000"/>
          <w:sz w:val="20"/>
          <w:szCs w:val="20"/>
          <w:shd w:val="clear" w:color="auto" w:fill="FFFFFF"/>
        </w:rPr>
        <w:t>Storage of Wrecked or Inoperable Electric Vehicles</w:t>
      </w:r>
    </w:p>
    <w:p w14:paraId="7D667C3F" w14:textId="6F10D8A6" w:rsidR="00F1098D" w:rsidRPr="004D720D" w:rsidRDefault="002D3B2D" w:rsidP="004D720D">
      <w:pPr>
        <w:spacing w:after="0" w:line="480" w:lineRule="auto"/>
        <w:ind w:left="1440" w:hanging="1440"/>
        <w:jc w:val="both"/>
        <w:rPr>
          <w:rFonts w:ascii="Times New Roman" w:hAnsi="Times New Roman"/>
          <w:color w:val="000000"/>
          <w:sz w:val="20"/>
          <w:szCs w:val="20"/>
          <w:shd w:val="clear" w:color="auto" w:fill="FFFFFF"/>
        </w:rPr>
      </w:pPr>
      <w:r w:rsidRPr="00C55155">
        <w:rPr>
          <w:rFonts w:ascii="Times New Roman" w:hAnsi="Times New Roman"/>
          <w:color w:val="000000"/>
          <w:sz w:val="20"/>
          <w:szCs w:val="20"/>
          <w:u w:val="single"/>
          <w:shd w:val="clear" w:color="auto" w:fill="FFFFFF"/>
        </w:rPr>
        <w:t>69A-73.006</w:t>
      </w:r>
      <w:r w:rsidRPr="004D720D">
        <w:rPr>
          <w:rFonts w:ascii="Times New Roman" w:hAnsi="Times New Roman"/>
          <w:color w:val="000000"/>
          <w:sz w:val="20"/>
          <w:szCs w:val="20"/>
          <w:shd w:val="clear" w:color="auto" w:fill="FFFFFF"/>
        </w:rPr>
        <w:t xml:space="preserve"> </w:t>
      </w:r>
      <w:r w:rsidR="004D720D">
        <w:rPr>
          <w:rFonts w:ascii="Times New Roman" w:hAnsi="Times New Roman"/>
          <w:color w:val="000000"/>
          <w:sz w:val="20"/>
          <w:szCs w:val="20"/>
          <w:shd w:val="clear" w:color="auto" w:fill="FFFFFF"/>
        </w:rPr>
        <w:tab/>
      </w:r>
      <w:r w:rsidRPr="00C55155">
        <w:rPr>
          <w:rFonts w:ascii="Times New Roman" w:hAnsi="Times New Roman"/>
          <w:color w:val="000000"/>
          <w:sz w:val="20"/>
          <w:szCs w:val="20"/>
          <w:u w:val="single"/>
          <w:shd w:val="clear" w:color="auto" w:fill="FFFFFF"/>
        </w:rPr>
        <w:t>Parking or Storage of Electric Vehicles within a Special Flood Hazard Area During a Hurricane or Tropical Storm Warning</w:t>
      </w:r>
    </w:p>
    <w:p w14:paraId="0AFAF392" w14:textId="745456EE" w:rsidR="002D3B2D" w:rsidRPr="004D720D" w:rsidRDefault="004D720D" w:rsidP="00EA3F65">
      <w:pPr>
        <w:spacing w:after="0" w:line="480" w:lineRule="auto"/>
        <w:jc w:val="both"/>
        <w:rPr>
          <w:rFonts w:ascii="Times New Roman" w:eastAsia="Times New Roman" w:hAnsi="Times New Roman"/>
          <w:sz w:val="20"/>
          <w:szCs w:val="20"/>
        </w:rPr>
      </w:pPr>
      <w:r w:rsidRPr="00C55155">
        <w:rPr>
          <w:rFonts w:ascii="Times New Roman" w:hAnsi="Times New Roman"/>
          <w:color w:val="000000"/>
          <w:sz w:val="20"/>
          <w:szCs w:val="20"/>
          <w:u w:val="single"/>
          <w:shd w:val="clear" w:color="auto" w:fill="FFFFFF"/>
        </w:rPr>
        <w:t>69A-73.007</w:t>
      </w:r>
      <w:r w:rsidRPr="004D720D">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ab/>
      </w:r>
      <w:r w:rsidRPr="00C55155">
        <w:rPr>
          <w:rFonts w:ascii="Times New Roman" w:hAnsi="Times New Roman"/>
          <w:color w:val="000000"/>
          <w:sz w:val="20"/>
          <w:szCs w:val="20"/>
          <w:u w:val="single"/>
          <w:shd w:val="clear" w:color="auto" w:fill="FFFFFF"/>
        </w:rPr>
        <w:t>Conflicts</w:t>
      </w:r>
    </w:p>
    <w:p w14:paraId="6DA18AB5" w14:textId="77777777" w:rsidR="00B23E6E" w:rsidRPr="00A5311C" w:rsidRDefault="00B23E6E" w:rsidP="00A5311C">
      <w:pPr>
        <w:spacing w:after="0" w:line="480" w:lineRule="auto"/>
        <w:jc w:val="both"/>
        <w:rPr>
          <w:rFonts w:ascii="Times New Roman" w:eastAsia="Times New Roman" w:hAnsi="Times New Roman"/>
          <w:sz w:val="20"/>
          <w:szCs w:val="20"/>
        </w:rPr>
      </w:pPr>
      <w:r w:rsidRPr="00A5311C">
        <w:rPr>
          <w:rFonts w:ascii="Times New Roman" w:eastAsia="Times New Roman" w:hAnsi="Times New Roman"/>
          <w:sz w:val="20"/>
          <w:szCs w:val="20"/>
        </w:rPr>
        <w:t xml:space="preserve">The </w:t>
      </w:r>
      <w:r w:rsidR="00905824">
        <w:rPr>
          <w:rFonts w:ascii="Times New Roman" w:eastAsia="Times New Roman" w:hAnsi="Times New Roman"/>
          <w:sz w:val="20"/>
          <w:szCs w:val="20"/>
        </w:rPr>
        <w:t>Department of Financial Services</w:t>
      </w:r>
      <w:r w:rsidRPr="00A5311C">
        <w:rPr>
          <w:rFonts w:ascii="Times New Roman" w:eastAsia="Times New Roman" w:hAnsi="Times New Roman"/>
          <w:sz w:val="20"/>
          <w:szCs w:val="20"/>
        </w:rPr>
        <w:t xml:space="preserve"> announces a </w:t>
      </w:r>
      <w:r w:rsidR="002E18BB">
        <w:rPr>
          <w:rFonts w:ascii="Times New Roman" w:eastAsia="Times New Roman" w:hAnsi="Times New Roman"/>
          <w:sz w:val="20"/>
          <w:szCs w:val="20"/>
        </w:rPr>
        <w:t>workshop</w:t>
      </w:r>
      <w:r w:rsidRPr="00A5311C">
        <w:rPr>
          <w:rFonts w:ascii="Times New Roman" w:eastAsia="Times New Roman" w:hAnsi="Times New Roman"/>
          <w:sz w:val="20"/>
          <w:szCs w:val="20"/>
        </w:rPr>
        <w:t xml:space="preserve"> to which all persons are invited.</w:t>
      </w:r>
    </w:p>
    <w:p w14:paraId="695342DA" w14:textId="1DB3DAC7" w:rsidR="00B23E6E" w:rsidRPr="00A5311C" w:rsidRDefault="00B23E6E" w:rsidP="00A5311C">
      <w:pPr>
        <w:spacing w:after="0" w:line="480" w:lineRule="auto"/>
        <w:jc w:val="both"/>
        <w:rPr>
          <w:rFonts w:ascii="Times New Roman" w:eastAsia="Times New Roman" w:hAnsi="Times New Roman"/>
          <w:sz w:val="20"/>
          <w:szCs w:val="20"/>
        </w:rPr>
      </w:pPr>
      <w:r w:rsidRPr="00A5311C">
        <w:rPr>
          <w:rFonts w:ascii="Times New Roman" w:eastAsia="Times New Roman" w:hAnsi="Times New Roman"/>
          <w:sz w:val="20"/>
          <w:szCs w:val="20"/>
        </w:rPr>
        <w:t xml:space="preserve">DATE AND TIME: </w:t>
      </w:r>
      <w:r w:rsidR="008C3CF5">
        <w:rPr>
          <w:rFonts w:ascii="Times New Roman" w:eastAsia="Times New Roman" w:hAnsi="Times New Roman"/>
          <w:sz w:val="20"/>
          <w:szCs w:val="20"/>
        </w:rPr>
        <w:t xml:space="preserve">November </w:t>
      </w:r>
      <w:r w:rsidR="00424E65">
        <w:rPr>
          <w:rFonts w:ascii="Times New Roman" w:eastAsia="Times New Roman" w:hAnsi="Times New Roman"/>
          <w:sz w:val="20"/>
          <w:szCs w:val="20"/>
        </w:rPr>
        <w:t>7</w:t>
      </w:r>
      <w:r w:rsidR="008C3CF5">
        <w:rPr>
          <w:rFonts w:ascii="Times New Roman" w:eastAsia="Times New Roman" w:hAnsi="Times New Roman"/>
          <w:sz w:val="20"/>
          <w:szCs w:val="20"/>
        </w:rPr>
        <w:t>, 202</w:t>
      </w:r>
      <w:r w:rsidR="00424E65">
        <w:rPr>
          <w:rFonts w:ascii="Times New Roman" w:eastAsia="Times New Roman" w:hAnsi="Times New Roman"/>
          <w:sz w:val="20"/>
          <w:szCs w:val="20"/>
        </w:rPr>
        <w:t>4</w:t>
      </w:r>
      <w:r w:rsidR="008C3CF5">
        <w:rPr>
          <w:rFonts w:ascii="Times New Roman" w:eastAsia="Times New Roman" w:hAnsi="Times New Roman"/>
          <w:sz w:val="20"/>
          <w:szCs w:val="20"/>
        </w:rPr>
        <w:t>,</w:t>
      </w:r>
      <w:r w:rsidR="00A5311C">
        <w:rPr>
          <w:rFonts w:ascii="Times New Roman" w:eastAsia="Times New Roman" w:hAnsi="Times New Roman"/>
          <w:sz w:val="20"/>
          <w:szCs w:val="20"/>
        </w:rPr>
        <w:t xml:space="preserve"> at </w:t>
      </w:r>
      <w:r w:rsidR="00424E65">
        <w:rPr>
          <w:rFonts w:ascii="Times New Roman" w:eastAsia="Times New Roman" w:hAnsi="Times New Roman"/>
          <w:sz w:val="20"/>
          <w:szCs w:val="20"/>
        </w:rPr>
        <w:t>9:30</w:t>
      </w:r>
      <w:r w:rsidR="00ED5FE2">
        <w:rPr>
          <w:rFonts w:ascii="Times New Roman" w:eastAsia="Times New Roman" w:hAnsi="Times New Roman"/>
          <w:sz w:val="20"/>
          <w:szCs w:val="20"/>
        </w:rPr>
        <w:t xml:space="preserve"> </w:t>
      </w:r>
      <w:r w:rsidR="008C3CF5">
        <w:rPr>
          <w:rFonts w:ascii="Times New Roman" w:eastAsia="Times New Roman" w:hAnsi="Times New Roman"/>
          <w:sz w:val="20"/>
          <w:szCs w:val="20"/>
        </w:rPr>
        <w:t>a</w:t>
      </w:r>
      <w:r w:rsidR="00ED5FE2">
        <w:rPr>
          <w:rFonts w:ascii="Times New Roman" w:eastAsia="Times New Roman" w:hAnsi="Times New Roman"/>
          <w:sz w:val="20"/>
          <w:szCs w:val="20"/>
        </w:rPr>
        <w:t>.m.</w:t>
      </w:r>
      <w:r w:rsidR="008C3CF5">
        <w:rPr>
          <w:rFonts w:ascii="Times New Roman" w:eastAsia="Times New Roman" w:hAnsi="Times New Roman"/>
          <w:sz w:val="20"/>
          <w:szCs w:val="20"/>
        </w:rPr>
        <w:t xml:space="preserve"> till </w:t>
      </w:r>
      <w:r w:rsidR="00E360CB">
        <w:rPr>
          <w:rFonts w:ascii="Times New Roman" w:eastAsia="Times New Roman" w:hAnsi="Times New Roman"/>
          <w:sz w:val="20"/>
          <w:szCs w:val="20"/>
        </w:rPr>
        <w:t>10:30</w:t>
      </w:r>
      <w:r w:rsidR="008C3CF5">
        <w:rPr>
          <w:rFonts w:ascii="Times New Roman" w:eastAsia="Times New Roman" w:hAnsi="Times New Roman"/>
          <w:sz w:val="20"/>
          <w:szCs w:val="20"/>
        </w:rPr>
        <w:t xml:space="preserve"> </w:t>
      </w:r>
      <w:r w:rsidR="00E360CB">
        <w:rPr>
          <w:rFonts w:ascii="Times New Roman" w:eastAsia="Times New Roman" w:hAnsi="Times New Roman"/>
          <w:sz w:val="20"/>
          <w:szCs w:val="20"/>
        </w:rPr>
        <w:t>a</w:t>
      </w:r>
      <w:r w:rsidR="008C3CF5">
        <w:rPr>
          <w:rFonts w:ascii="Times New Roman" w:eastAsia="Times New Roman" w:hAnsi="Times New Roman"/>
          <w:sz w:val="20"/>
          <w:szCs w:val="20"/>
        </w:rPr>
        <w:t>.m.</w:t>
      </w:r>
    </w:p>
    <w:p w14:paraId="097B87CB" w14:textId="77777777" w:rsidR="00FC0C46" w:rsidRPr="00525765" w:rsidRDefault="00FC0C46" w:rsidP="00FC0C46">
      <w:pPr>
        <w:pStyle w:val="NormalWeb"/>
        <w:spacing w:line="360" w:lineRule="auto"/>
        <w:jc w:val="both"/>
        <w:rPr>
          <w:sz w:val="20"/>
          <w:szCs w:val="20"/>
        </w:rPr>
      </w:pPr>
      <w:r w:rsidRPr="00A5311C">
        <w:rPr>
          <w:sz w:val="20"/>
          <w:szCs w:val="20"/>
        </w:rPr>
        <w:t>PLACE:</w:t>
      </w:r>
      <w:r w:rsidRPr="00905824">
        <w:rPr>
          <w:sz w:val="20"/>
          <w:szCs w:val="20"/>
        </w:rPr>
        <w:t xml:space="preserve"> </w:t>
      </w:r>
      <w:r w:rsidRPr="004529BA">
        <w:rPr>
          <w:sz w:val="20"/>
          <w:szCs w:val="20"/>
        </w:rPr>
        <w:t>PLACE</w:t>
      </w:r>
      <w:r w:rsidRPr="00525765">
        <w:rPr>
          <w:sz w:val="20"/>
          <w:szCs w:val="20"/>
        </w:rPr>
        <w:t>: This workshop will be held in-person and by GoToMeeting.</w:t>
      </w:r>
    </w:p>
    <w:p w14:paraId="63152367" w14:textId="77777777" w:rsidR="00FC0C46" w:rsidRPr="00525765" w:rsidRDefault="00FC0C46" w:rsidP="00FC0C46">
      <w:pPr>
        <w:pStyle w:val="NormalWeb"/>
        <w:spacing w:line="360" w:lineRule="auto"/>
        <w:jc w:val="both"/>
        <w:rPr>
          <w:sz w:val="20"/>
          <w:szCs w:val="20"/>
        </w:rPr>
      </w:pPr>
      <w:r w:rsidRPr="00525765">
        <w:rPr>
          <w:sz w:val="20"/>
          <w:szCs w:val="20"/>
        </w:rPr>
        <w:t>In-person at: FFMIA conference located at Hilton Melbourne, 200 Rialto Place, Melbourne, Florida 32901</w:t>
      </w:r>
    </w:p>
    <w:p w14:paraId="3CFC0A26" w14:textId="77777777" w:rsidR="00FC0C46" w:rsidRDefault="00FC0C46" w:rsidP="00FC0C46">
      <w:pPr>
        <w:pStyle w:val="NormalWeb"/>
        <w:spacing w:line="360" w:lineRule="auto"/>
        <w:jc w:val="both"/>
        <w:rPr>
          <w:color w:val="000000"/>
          <w:sz w:val="20"/>
          <w:szCs w:val="20"/>
        </w:rPr>
      </w:pPr>
      <w:r>
        <w:rPr>
          <w:sz w:val="20"/>
          <w:szCs w:val="20"/>
        </w:rPr>
        <w:t>A</w:t>
      </w:r>
      <w:r w:rsidRPr="004529BA">
        <w:rPr>
          <w:sz w:val="20"/>
          <w:szCs w:val="20"/>
        </w:rPr>
        <w:t xml:space="preserve">nd by GoToMeeting: </w:t>
      </w:r>
      <w:r w:rsidRPr="004529BA">
        <w:rPr>
          <w:color w:val="000000"/>
          <w:sz w:val="20"/>
          <w:szCs w:val="20"/>
        </w:rPr>
        <w:t xml:space="preserve">Please join my meeting from your computer, </w:t>
      </w:r>
      <w:proofErr w:type="gramStart"/>
      <w:r w:rsidRPr="004529BA">
        <w:rPr>
          <w:color w:val="000000"/>
          <w:sz w:val="20"/>
          <w:szCs w:val="20"/>
        </w:rPr>
        <w:t>tablet</w:t>
      </w:r>
      <w:proofErr w:type="gramEnd"/>
      <w:r w:rsidRPr="004529BA">
        <w:rPr>
          <w:color w:val="000000"/>
          <w:sz w:val="20"/>
          <w:szCs w:val="20"/>
        </w:rPr>
        <w:t xml:space="preserve"> or smartphone. </w:t>
      </w:r>
      <w:hyperlink r:id="rId9" w:history="1">
        <w:r w:rsidRPr="00527CEA">
          <w:rPr>
            <w:rStyle w:val="Hyperlink"/>
            <w:sz w:val="20"/>
            <w:szCs w:val="20"/>
          </w:rPr>
          <w:t>https://global.gotomeeting.com/join/626020717</w:t>
        </w:r>
      </w:hyperlink>
    </w:p>
    <w:p w14:paraId="2C1E2494" w14:textId="77777777" w:rsidR="00FC0C46" w:rsidRPr="004529BA" w:rsidRDefault="00FC0C46" w:rsidP="00FC0C46">
      <w:pPr>
        <w:pStyle w:val="NormalWeb"/>
        <w:spacing w:line="360" w:lineRule="auto"/>
        <w:jc w:val="both"/>
        <w:rPr>
          <w:color w:val="000000"/>
          <w:sz w:val="20"/>
          <w:szCs w:val="20"/>
        </w:rPr>
      </w:pPr>
      <w:r w:rsidRPr="004529BA">
        <w:rPr>
          <w:color w:val="000000"/>
          <w:sz w:val="20"/>
          <w:szCs w:val="20"/>
        </w:rPr>
        <w:t>You can also dial in using your phone. United States (Toll Free): 1(866)899-4679, United States: (571)317-3116, Access Code: 626-020-717</w:t>
      </w:r>
    </w:p>
    <w:p w14:paraId="1B6E1444" w14:textId="77777777" w:rsidR="00FC0C46" w:rsidRPr="008C3CF5" w:rsidRDefault="00FC0C46" w:rsidP="00FC0C46">
      <w:pPr>
        <w:pStyle w:val="ListParagraph"/>
        <w:spacing w:line="360" w:lineRule="auto"/>
        <w:ind w:left="0"/>
        <w:jc w:val="both"/>
        <w:rPr>
          <w:rFonts w:ascii="Times New Roman" w:eastAsia="Times New Roman" w:hAnsi="Times New Roman" w:cs="Times New Roman"/>
          <w:sz w:val="20"/>
          <w:szCs w:val="20"/>
        </w:rPr>
      </w:pPr>
      <w:r w:rsidRPr="004529BA">
        <w:rPr>
          <w:rFonts w:ascii="Times New Roman" w:hAnsi="Times New Roman" w:cs="Times New Roman"/>
          <w:color w:val="000000"/>
          <w:sz w:val="20"/>
          <w:szCs w:val="20"/>
        </w:rPr>
        <w:t>Join from a video-conferencing room or system. Dial in or type: 67.217.95.2 or inroomlink.goto.com, Meeting ID: 626 020 717 or dial directly: 626020717@67.217.95.2 or 67.217.95.2##626020717</w:t>
      </w:r>
      <w:r w:rsidRPr="004529BA">
        <w:rPr>
          <w:rFonts w:ascii="Times New Roman" w:eastAsia="Times New Roman" w:hAnsi="Times New Roman" w:cs="Times New Roman"/>
          <w:sz w:val="20"/>
          <w:szCs w:val="20"/>
        </w:rPr>
        <w:t>.</w:t>
      </w:r>
    </w:p>
    <w:p w14:paraId="690C27A7" w14:textId="77777777" w:rsidR="00FC0C46" w:rsidRDefault="00FC0C46" w:rsidP="00FC0C46">
      <w:pPr>
        <w:spacing w:after="0" w:line="360" w:lineRule="auto"/>
        <w:jc w:val="both"/>
        <w:rPr>
          <w:rFonts w:ascii="Times New Roman" w:eastAsia="Times New Roman" w:hAnsi="Times New Roman"/>
          <w:sz w:val="20"/>
          <w:szCs w:val="20"/>
        </w:rPr>
      </w:pPr>
    </w:p>
    <w:p w14:paraId="125A1F4B" w14:textId="77777777" w:rsidR="00FC0C46" w:rsidRDefault="00FC0C46" w:rsidP="00FC0C46">
      <w:pPr>
        <w:spacing w:after="0" w:line="360" w:lineRule="auto"/>
        <w:jc w:val="both"/>
        <w:rPr>
          <w:rFonts w:ascii="Times New Roman" w:eastAsia="Times New Roman" w:hAnsi="Times New Roman"/>
          <w:sz w:val="20"/>
          <w:szCs w:val="20"/>
        </w:rPr>
      </w:pPr>
      <w:r w:rsidRPr="00A5311C">
        <w:rPr>
          <w:rFonts w:ascii="Times New Roman" w:eastAsia="Times New Roman" w:hAnsi="Times New Roman"/>
          <w:sz w:val="20"/>
          <w:szCs w:val="20"/>
        </w:rPr>
        <w:t>GENERAL SUBJECT MATTER TO BE CONSIDERED: T</w:t>
      </w:r>
      <w:r>
        <w:rPr>
          <w:rFonts w:ascii="Times New Roman" w:eastAsia="Times New Roman" w:hAnsi="Times New Roman"/>
          <w:sz w:val="20"/>
          <w:szCs w:val="20"/>
        </w:rPr>
        <w:t>his</w:t>
      </w:r>
      <w:r w:rsidRPr="00A5311C">
        <w:rPr>
          <w:rFonts w:ascii="Times New Roman" w:eastAsia="Times New Roman" w:hAnsi="Times New Roman"/>
          <w:sz w:val="20"/>
          <w:szCs w:val="20"/>
        </w:rPr>
        <w:t xml:space="preserve"> </w:t>
      </w:r>
      <w:r>
        <w:rPr>
          <w:rFonts w:ascii="Times New Roman" w:eastAsia="Times New Roman" w:hAnsi="Times New Roman"/>
          <w:sz w:val="20"/>
          <w:szCs w:val="20"/>
        </w:rPr>
        <w:t xml:space="preserve">workshop will consider </w:t>
      </w:r>
      <w:r w:rsidRPr="00A5311C">
        <w:rPr>
          <w:rFonts w:ascii="Times New Roman" w:eastAsia="Times New Roman" w:hAnsi="Times New Roman"/>
          <w:sz w:val="20"/>
          <w:szCs w:val="20"/>
        </w:rPr>
        <w:t xml:space="preserve">public input </w:t>
      </w:r>
      <w:r>
        <w:rPr>
          <w:rFonts w:ascii="Times New Roman" w:eastAsia="Times New Roman" w:hAnsi="Times New Roman"/>
          <w:sz w:val="20"/>
          <w:szCs w:val="20"/>
        </w:rPr>
        <w:t>on the proposed changes to the above-referenced rule chapter.</w:t>
      </w:r>
    </w:p>
    <w:p w14:paraId="134D7D6E" w14:textId="77777777" w:rsidR="008C36CD" w:rsidRDefault="008C36CD" w:rsidP="00FC0C46">
      <w:pPr>
        <w:spacing w:after="0" w:line="360" w:lineRule="auto"/>
        <w:jc w:val="both"/>
        <w:rPr>
          <w:rFonts w:ascii="Times New Roman" w:eastAsia="Times New Roman" w:hAnsi="Times New Roman"/>
          <w:sz w:val="20"/>
          <w:szCs w:val="20"/>
        </w:rPr>
      </w:pPr>
    </w:p>
    <w:p w14:paraId="01A63A74" w14:textId="77777777" w:rsidR="008C36CD" w:rsidRDefault="008C36CD" w:rsidP="008C36CD">
      <w:pPr>
        <w:spacing w:after="0" w:line="480" w:lineRule="auto"/>
        <w:jc w:val="both"/>
        <w:rPr>
          <w:rFonts w:ascii="Times New Roman" w:eastAsia="Times New Roman" w:hAnsi="Times New Roman"/>
          <w:sz w:val="20"/>
          <w:szCs w:val="20"/>
        </w:rPr>
      </w:pPr>
      <w:r>
        <w:rPr>
          <w:rFonts w:ascii="Times New Roman" w:eastAsia="Times New Roman" w:hAnsi="Times New Roman"/>
          <w:sz w:val="20"/>
          <w:szCs w:val="20"/>
        </w:rPr>
        <w:t>Proposed Rule Text:</w:t>
      </w:r>
    </w:p>
    <w:p w14:paraId="611D1EB3" w14:textId="77777777" w:rsidR="008C36CD" w:rsidRPr="00E26542" w:rsidRDefault="008C36CD" w:rsidP="008C36CD">
      <w:pPr>
        <w:spacing w:line="480" w:lineRule="auto"/>
        <w:rPr>
          <w:rFonts w:ascii="Times New Roman" w:hAnsi="Times New Roman"/>
          <w:b/>
          <w:bCs/>
          <w:sz w:val="20"/>
          <w:szCs w:val="20"/>
          <w:u w:val="single"/>
        </w:rPr>
      </w:pPr>
      <w:r w:rsidRPr="00E26542">
        <w:rPr>
          <w:rFonts w:ascii="Times New Roman" w:hAnsi="Times New Roman"/>
          <w:b/>
          <w:bCs/>
          <w:sz w:val="20"/>
          <w:szCs w:val="20"/>
          <w:u w:val="single"/>
        </w:rPr>
        <w:t>69A-73.001 Definitions</w:t>
      </w:r>
    </w:p>
    <w:p w14:paraId="352F9976" w14:textId="77777777" w:rsidR="008C36CD" w:rsidRPr="00E26542" w:rsidRDefault="008C36CD" w:rsidP="008C36CD">
      <w:pPr>
        <w:spacing w:line="480" w:lineRule="auto"/>
        <w:rPr>
          <w:rFonts w:ascii="Times New Roman" w:hAnsi="Times New Roman"/>
          <w:b/>
          <w:bCs/>
          <w:sz w:val="20"/>
          <w:szCs w:val="20"/>
        </w:rPr>
      </w:pPr>
      <w:r w:rsidRPr="00E26542">
        <w:rPr>
          <w:rFonts w:ascii="Times New Roman" w:hAnsi="Times New Roman"/>
          <w:b/>
          <w:bCs/>
          <w:sz w:val="20"/>
          <w:szCs w:val="20"/>
        </w:rPr>
        <w:lastRenderedPageBreak/>
        <w:t xml:space="preserve">Approved- </w:t>
      </w:r>
      <w:r w:rsidRPr="00E26542">
        <w:rPr>
          <w:rFonts w:ascii="Times New Roman" w:hAnsi="Times New Roman"/>
          <w:sz w:val="20"/>
          <w:szCs w:val="20"/>
        </w:rPr>
        <w:t>Acceptable to the authority having jurisdiction.</w:t>
      </w:r>
    </w:p>
    <w:p w14:paraId="7E1F2066" w14:textId="77777777" w:rsidR="008C36CD" w:rsidRPr="00E26542" w:rsidRDefault="008C36CD" w:rsidP="008C36CD">
      <w:pPr>
        <w:spacing w:line="480" w:lineRule="auto"/>
        <w:rPr>
          <w:rFonts w:ascii="Times New Roman" w:hAnsi="Times New Roman"/>
          <w:b/>
          <w:bCs/>
          <w:sz w:val="20"/>
          <w:szCs w:val="20"/>
        </w:rPr>
      </w:pPr>
      <w:r w:rsidRPr="00E26542">
        <w:rPr>
          <w:rFonts w:ascii="Times New Roman" w:hAnsi="Times New Roman"/>
          <w:b/>
          <w:bCs/>
          <w:sz w:val="20"/>
          <w:szCs w:val="20"/>
        </w:rPr>
        <w:t xml:space="preserve">Authority Having Jurisdiction (AHJ)- </w:t>
      </w:r>
      <w:r w:rsidRPr="00E26542">
        <w:rPr>
          <w:rFonts w:ascii="Times New Roman" w:hAnsi="Times New Roman"/>
          <w:sz w:val="20"/>
          <w:szCs w:val="20"/>
        </w:rPr>
        <w:t>An organization, office, or individual responsible for enforcing the requirements of a code or standard, or for approving equipment, materials, an installation, or a procedure.</w:t>
      </w:r>
      <w:r w:rsidRPr="00E26542">
        <w:rPr>
          <w:rFonts w:ascii="Times New Roman" w:hAnsi="Times New Roman"/>
          <w:b/>
          <w:bCs/>
          <w:sz w:val="20"/>
          <w:szCs w:val="20"/>
        </w:rPr>
        <w:t xml:space="preserve"> </w:t>
      </w:r>
    </w:p>
    <w:p w14:paraId="0B2AF5C6" w14:textId="77777777" w:rsidR="008C36CD" w:rsidRPr="00E26542" w:rsidRDefault="008C36CD" w:rsidP="008C36CD">
      <w:pPr>
        <w:spacing w:line="480" w:lineRule="auto"/>
        <w:rPr>
          <w:rFonts w:ascii="Times New Roman" w:hAnsi="Times New Roman"/>
          <w:b/>
          <w:bCs/>
          <w:sz w:val="20"/>
          <w:szCs w:val="20"/>
        </w:rPr>
      </w:pPr>
      <w:r w:rsidRPr="00E26542">
        <w:rPr>
          <w:rFonts w:ascii="Times New Roman" w:hAnsi="Times New Roman"/>
          <w:b/>
          <w:bCs/>
          <w:sz w:val="20"/>
          <w:szCs w:val="20"/>
        </w:rPr>
        <w:t xml:space="preserve">Battery- </w:t>
      </w:r>
      <w:r w:rsidRPr="00E26542">
        <w:rPr>
          <w:rFonts w:ascii="Times New Roman" w:hAnsi="Times New Roman"/>
          <w:sz w:val="20"/>
          <w:szCs w:val="20"/>
        </w:rPr>
        <w:t xml:space="preserve">One or more cells </w:t>
      </w:r>
      <w:proofErr w:type="gramStart"/>
      <w:r w:rsidRPr="00E26542">
        <w:rPr>
          <w:rFonts w:ascii="Times New Roman" w:hAnsi="Times New Roman"/>
          <w:sz w:val="20"/>
          <w:szCs w:val="20"/>
        </w:rPr>
        <w:t>connected together</w:t>
      </w:r>
      <w:proofErr w:type="gramEnd"/>
      <w:r w:rsidRPr="00E26542">
        <w:rPr>
          <w:rFonts w:ascii="Times New Roman" w:hAnsi="Times New Roman"/>
          <w:sz w:val="20"/>
          <w:szCs w:val="20"/>
        </w:rPr>
        <w:t xml:space="preserve"> electrically in series, parallel, or both, to provide the required operating voltage and current levels.</w:t>
      </w:r>
    </w:p>
    <w:p w14:paraId="0A236534" w14:textId="77777777" w:rsidR="008C36CD" w:rsidRPr="00E26542" w:rsidRDefault="008C36CD" w:rsidP="008C36CD">
      <w:pPr>
        <w:spacing w:line="480" w:lineRule="auto"/>
        <w:rPr>
          <w:rFonts w:ascii="Times New Roman" w:hAnsi="Times New Roman"/>
          <w:b/>
          <w:bCs/>
          <w:sz w:val="20"/>
          <w:szCs w:val="20"/>
        </w:rPr>
      </w:pPr>
      <w:r w:rsidRPr="00E26542">
        <w:rPr>
          <w:rFonts w:ascii="Times New Roman" w:hAnsi="Times New Roman"/>
          <w:b/>
          <w:bCs/>
          <w:sz w:val="20"/>
          <w:szCs w:val="20"/>
        </w:rPr>
        <w:t xml:space="preserve">Electric Vehicle (EV)- </w:t>
      </w:r>
      <w:r w:rsidRPr="00E26542">
        <w:rPr>
          <w:rFonts w:ascii="Times New Roman" w:hAnsi="Times New Roman"/>
          <w:sz w:val="20"/>
          <w:szCs w:val="20"/>
        </w:rPr>
        <w:t>An automotive-type vehicle for on-road use, such as passenger automobiles, buses, trucks, vans, neighborhood electric vehicles, and electric motorcycles, primarily powered by an electric motor that draws current from a rechargeable storage battery, fuel cell, photovoltaic array, or other source of electric current. Plug-in hybrid electric vehicles (PHEV) are electric vehicles having a second source of motive power. </w:t>
      </w:r>
      <w:r w:rsidRPr="00E26542">
        <w:rPr>
          <w:rFonts w:ascii="Times New Roman" w:hAnsi="Times New Roman"/>
          <w:b/>
          <w:bCs/>
          <w:sz w:val="20"/>
          <w:szCs w:val="20"/>
        </w:rPr>
        <w:t xml:space="preserve"> </w:t>
      </w:r>
    </w:p>
    <w:p w14:paraId="0AEE3F2E" w14:textId="77777777" w:rsidR="008C36CD" w:rsidRPr="00E26542" w:rsidRDefault="008C36CD" w:rsidP="008C36CD">
      <w:pPr>
        <w:spacing w:line="480" w:lineRule="auto"/>
        <w:rPr>
          <w:rFonts w:ascii="Times New Roman" w:hAnsi="Times New Roman"/>
          <w:b/>
          <w:bCs/>
          <w:sz w:val="20"/>
          <w:szCs w:val="20"/>
        </w:rPr>
      </w:pPr>
      <w:r w:rsidRPr="00E26542">
        <w:rPr>
          <w:rFonts w:ascii="Times New Roman" w:hAnsi="Times New Roman"/>
          <w:b/>
          <w:bCs/>
          <w:sz w:val="20"/>
          <w:szCs w:val="20"/>
        </w:rPr>
        <w:t xml:space="preserve">Electric Vehicle Power Export Equipment (EVPE)- </w:t>
      </w:r>
      <w:r w:rsidRPr="00E26542">
        <w:rPr>
          <w:rFonts w:ascii="Times New Roman" w:hAnsi="Times New Roman"/>
          <w:sz w:val="20"/>
          <w:szCs w:val="20"/>
        </w:rPr>
        <w:t xml:space="preserve">The equipment, including the outlet on the vehicle, that is used to provide electrical power at voltages greater than or equal to 30 Vac or 60 Vdc to loads external to the vehicle, using the vehicle as the source of supply. </w:t>
      </w:r>
    </w:p>
    <w:p w14:paraId="70FA7F88" w14:textId="77777777" w:rsidR="008C36CD" w:rsidRPr="00E26542" w:rsidRDefault="008C36CD" w:rsidP="008C36CD">
      <w:pPr>
        <w:spacing w:line="480" w:lineRule="auto"/>
        <w:rPr>
          <w:rFonts w:ascii="Times New Roman" w:hAnsi="Times New Roman"/>
          <w:b/>
          <w:bCs/>
          <w:sz w:val="20"/>
          <w:szCs w:val="20"/>
        </w:rPr>
      </w:pPr>
      <w:r w:rsidRPr="00E26542">
        <w:rPr>
          <w:rFonts w:ascii="Times New Roman" w:hAnsi="Times New Roman"/>
          <w:b/>
          <w:bCs/>
          <w:sz w:val="20"/>
          <w:szCs w:val="20"/>
        </w:rPr>
        <w:t xml:space="preserve">Electric Vehicle Supply Equipment (EVSE)- </w:t>
      </w:r>
      <w:r w:rsidRPr="00E26542">
        <w:rPr>
          <w:rFonts w:ascii="Times New Roman" w:hAnsi="Times New Roman"/>
          <w:sz w:val="20"/>
          <w:szCs w:val="20"/>
        </w:rPr>
        <w:t xml:space="preserve">Equipment for plug-in charging, including the ungrounded, grounded, and equipment grounding conductors, and the electric vehicle connectors, attachment plugs, personnel protection system, and all other fittings, devices, power outlets, or apparatus installed specifically for the purpose of transferring energy between the premises wiring and the electric vehicle. </w:t>
      </w:r>
    </w:p>
    <w:p w14:paraId="54FB6A9C" w14:textId="77777777" w:rsidR="008C36CD" w:rsidRPr="00E26542" w:rsidRDefault="008C36CD" w:rsidP="008C36CD">
      <w:pPr>
        <w:spacing w:line="480" w:lineRule="auto"/>
        <w:rPr>
          <w:rFonts w:ascii="Times New Roman" w:hAnsi="Times New Roman"/>
          <w:sz w:val="20"/>
          <w:szCs w:val="20"/>
        </w:rPr>
      </w:pPr>
      <w:r w:rsidRPr="00E26542">
        <w:rPr>
          <w:rFonts w:ascii="Times New Roman" w:hAnsi="Times New Roman"/>
          <w:b/>
          <w:bCs/>
          <w:sz w:val="20"/>
          <w:szCs w:val="20"/>
        </w:rPr>
        <w:t xml:space="preserve">Micromobility Device, Powered- </w:t>
      </w:r>
      <w:r w:rsidRPr="00E26542">
        <w:rPr>
          <w:rFonts w:ascii="Times New Roman" w:hAnsi="Times New Roman"/>
          <w:sz w:val="20"/>
          <w:szCs w:val="20"/>
        </w:rPr>
        <w:t>Motorized bicycles, motorized scooters, or other personal transportation devices powered by lithium-ion or lithium metal batteries.</w:t>
      </w:r>
    </w:p>
    <w:p w14:paraId="4C35B338" w14:textId="77777777" w:rsidR="008C36CD" w:rsidRPr="00E26542" w:rsidRDefault="008C36CD" w:rsidP="008C36CD">
      <w:pPr>
        <w:spacing w:line="480" w:lineRule="auto"/>
        <w:rPr>
          <w:rFonts w:ascii="Times New Roman" w:hAnsi="Times New Roman"/>
          <w:b/>
          <w:bCs/>
          <w:sz w:val="20"/>
          <w:szCs w:val="20"/>
          <w:u w:val="single"/>
        </w:rPr>
      </w:pPr>
      <w:r w:rsidRPr="00E26542">
        <w:rPr>
          <w:rFonts w:ascii="Times New Roman" w:hAnsi="Times New Roman"/>
          <w:b/>
          <w:bCs/>
          <w:sz w:val="20"/>
          <w:szCs w:val="20"/>
        </w:rPr>
        <w:t xml:space="preserve">Wireless Power Transfer Equipment (WPTE)- </w:t>
      </w:r>
      <w:r w:rsidRPr="00E26542">
        <w:rPr>
          <w:rFonts w:ascii="Times New Roman" w:hAnsi="Times New Roman"/>
          <w:sz w:val="20"/>
          <w:szCs w:val="20"/>
        </w:rPr>
        <w:t>Equipment installed specifically for the purpose of transferring energy between the premises wiring and the electric vehicle without physical electrical contact.</w:t>
      </w:r>
    </w:p>
    <w:p w14:paraId="43294F4C" w14:textId="77777777" w:rsidR="008C36CD" w:rsidRPr="00E26542" w:rsidRDefault="008C36CD" w:rsidP="008C36CD">
      <w:pPr>
        <w:spacing w:line="480" w:lineRule="auto"/>
        <w:rPr>
          <w:rFonts w:ascii="Times New Roman" w:hAnsi="Times New Roman"/>
          <w:b/>
          <w:bCs/>
          <w:sz w:val="20"/>
          <w:szCs w:val="20"/>
          <w:u w:val="single"/>
        </w:rPr>
      </w:pPr>
      <w:r w:rsidRPr="00E26542">
        <w:rPr>
          <w:rFonts w:ascii="Times New Roman" w:hAnsi="Times New Roman"/>
          <w:b/>
          <w:bCs/>
          <w:sz w:val="20"/>
          <w:szCs w:val="20"/>
          <w:u w:val="single"/>
        </w:rPr>
        <w:t>69A-73.002 Energy Storage Systems</w:t>
      </w:r>
    </w:p>
    <w:p w14:paraId="22D3FC4A" w14:textId="77777777" w:rsidR="008C36CD" w:rsidRPr="00E26542" w:rsidRDefault="008C36CD" w:rsidP="008C36CD">
      <w:pPr>
        <w:pStyle w:val="ListParagraph"/>
        <w:spacing w:line="480" w:lineRule="auto"/>
        <w:ind w:left="0"/>
        <w:rPr>
          <w:rFonts w:ascii="Times New Roman" w:hAnsi="Times New Roman" w:cs="Times New Roman"/>
          <w:sz w:val="20"/>
          <w:szCs w:val="20"/>
        </w:rPr>
      </w:pPr>
      <w:r w:rsidRPr="00E26542">
        <w:rPr>
          <w:rFonts w:ascii="Times New Roman" w:hAnsi="Times New Roman" w:cs="Times New Roman"/>
          <w:sz w:val="20"/>
          <w:szCs w:val="20"/>
        </w:rPr>
        <w:t>The NFPA 855, 2023 Edition, is hereby adopted and incorporated by reference and any referenced publications therein shall apply except as modified in the NFPA 855, 2023 Edition, 4.8.2.2 Multiple panels shall be aggregated to an interface, master or annunciator panel at a location approved by the AHJ.</w:t>
      </w:r>
    </w:p>
    <w:p w14:paraId="39826904" w14:textId="77777777" w:rsidR="008C36CD" w:rsidRPr="00E26542" w:rsidRDefault="008C36CD" w:rsidP="008C36CD">
      <w:pPr>
        <w:spacing w:line="480" w:lineRule="auto"/>
        <w:rPr>
          <w:rFonts w:ascii="Times New Roman" w:hAnsi="Times New Roman"/>
          <w:b/>
          <w:bCs/>
          <w:sz w:val="20"/>
          <w:szCs w:val="20"/>
          <w:u w:val="single"/>
        </w:rPr>
      </w:pPr>
      <w:r w:rsidRPr="00E26542">
        <w:rPr>
          <w:rFonts w:ascii="Times New Roman" w:hAnsi="Times New Roman"/>
          <w:b/>
          <w:bCs/>
          <w:sz w:val="20"/>
          <w:szCs w:val="20"/>
          <w:u w:val="single"/>
        </w:rPr>
        <w:t>69A-73.003 Powered Micromobility Devices</w:t>
      </w:r>
    </w:p>
    <w:p w14:paraId="5B0398E4" w14:textId="77777777" w:rsidR="008C36CD" w:rsidRPr="00E26542" w:rsidRDefault="008C36CD" w:rsidP="008C36CD">
      <w:pPr>
        <w:pStyle w:val="ListParagraph"/>
        <w:numPr>
          <w:ilvl w:val="0"/>
          <w:numId w:val="3"/>
        </w:numPr>
        <w:spacing w:after="160" w:line="480" w:lineRule="auto"/>
        <w:ind w:left="360"/>
        <w:contextualSpacing/>
        <w:rPr>
          <w:rFonts w:ascii="Times New Roman" w:hAnsi="Times New Roman" w:cs="Times New Roman"/>
          <w:sz w:val="20"/>
          <w:szCs w:val="20"/>
        </w:rPr>
      </w:pPr>
      <w:r w:rsidRPr="00E26542">
        <w:rPr>
          <w:rFonts w:ascii="Times New Roman" w:hAnsi="Times New Roman" w:cs="Times New Roman"/>
          <w:sz w:val="20"/>
          <w:szCs w:val="20"/>
        </w:rPr>
        <w:lastRenderedPageBreak/>
        <w:t>Powered micromobility devices shall be charged in accordance with this Rule.</w:t>
      </w:r>
    </w:p>
    <w:p w14:paraId="340D45E2" w14:textId="77777777" w:rsidR="008C36CD" w:rsidRPr="00E26542" w:rsidRDefault="008C36CD" w:rsidP="008C36CD">
      <w:pPr>
        <w:pStyle w:val="ListParagraph"/>
        <w:numPr>
          <w:ilvl w:val="0"/>
          <w:numId w:val="3"/>
        </w:numPr>
        <w:spacing w:after="160" w:line="480" w:lineRule="auto"/>
        <w:ind w:left="360"/>
        <w:contextualSpacing/>
        <w:rPr>
          <w:rFonts w:ascii="Times New Roman" w:hAnsi="Times New Roman" w:cs="Times New Roman"/>
          <w:sz w:val="20"/>
          <w:szCs w:val="20"/>
        </w:rPr>
      </w:pPr>
      <w:r w:rsidRPr="00E26542">
        <w:rPr>
          <w:rFonts w:ascii="Times New Roman" w:hAnsi="Times New Roman" w:cs="Times New Roman"/>
          <w:sz w:val="20"/>
          <w:szCs w:val="20"/>
        </w:rPr>
        <w:t xml:space="preserve">In other than one-and two-family dwellings, when more than five powered micromobility devices or batteries are charged inside or within 10 ft of a building or structure, the AHJ is authorized to require a permit in accordance with the Florida Fire Prevention Code. </w:t>
      </w:r>
    </w:p>
    <w:p w14:paraId="7C3ECDE2" w14:textId="77777777" w:rsidR="008C36CD" w:rsidRPr="00E26542" w:rsidRDefault="008C36CD" w:rsidP="008C36CD">
      <w:pPr>
        <w:pStyle w:val="ListParagraph"/>
        <w:numPr>
          <w:ilvl w:val="0"/>
          <w:numId w:val="3"/>
        </w:numPr>
        <w:spacing w:after="160" w:line="480" w:lineRule="auto"/>
        <w:ind w:left="360"/>
        <w:contextualSpacing/>
        <w:rPr>
          <w:rFonts w:ascii="Times New Roman" w:hAnsi="Times New Roman" w:cs="Times New Roman"/>
          <w:sz w:val="20"/>
          <w:szCs w:val="20"/>
        </w:rPr>
      </w:pPr>
      <w:r w:rsidRPr="00E26542">
        <w:rPr>
          <w:rFonts w:ascii="Times New Roman" w:hAnsi="Times New Roman" w:cs="Times New Roman"/>
          <w:sz w:val="20"/>
          <w:szCs w:val="20"/>
        </w:rPr>
        <w:t>Powered micromobility devices and batteries for such devices shall be charged in accordance with their listing and the manufacturer’s instructions using either the original-equipment-manufacturer-supplied listed charging equipment or listed charging equipment specified in the manufacturer’s instructions.</w:t>
      </w:r>
    </w:p>
    <w:p w14:paraId="106D4EB1" w14:textId="77777777" w:rsidR="008C36CD" w:rsidRPr="00E26542" w:rsidRDefault="008C36CD" w:rsidP="008C36CD">
      <w:pPr>
        <w:pStyle w:val="ListParagraph"/>
        <w:numPr>
          <w:ilvl w:val="0"/>
          <w:numId w:val="3"/>
        </w:numPr>
        <w:spacing w:after="160" w:line="480" w:lineRule="auto"/>
        <w:ind w:left="270" w:hanging="270"/>
        <w:contextualSpacing/>
        <w:rPr>
          <w:rFonts w:ascii="Times New Roman" w:hAnsi="Times New Roman" w:cs="Times New Roman"/>
          <w:sz w:val="20"/>
          <w:szCs w:val="20"/>
        </w:rPr>
      </w:pPr>
      <w:r w:rsidRPr="00E26542">
        <w:rPr>
          <w:rFonts w:ascii="Times New Roman" w:hAnsi="Times New Roman" w:cs="Times New Roman"/>
          <w:sz w:val="20"/>
          <w:szCs w:val="20"/>
        </w:rPr>
        <w:t xml:space="preserve"> Powered micromobility devices and battery packs shall be listed and labeled in accordance with UL 2272, </w:t>
      </w:r>
      <w:r w:rsidRPr="00E26542">
        <w:rPr>
          <w:rFonts w:ascii="Times New Roman" w:hAnsi="Times New Roman" w:cs="Times New Roman"/>
          <w:i/>
          <w:iCs/>
          <w:sz w:val="20"/>
          <w:szCs w:val="20"/>
        </w:rPr>
        <w:t>Electrical Systems for Personal E-Mobility Devices</w:t>
      </w:r>
      <w:r w:rsidRPr="00E26542">
        <w:rPr>
          <w:rFonts w:ascii="Times New Roman" w:hAnsi="Times New Roman" w:cs="Times New Roman"/>
          <w:sz w:val="20"/>
          <w:szCs w:val="20"/>
        </w:rPr>
        <w:t>, or UL 2849, </w:t>
      </w:r>
      <w:r w:rsidRPr="00E26542">
        <w:rPr>
          <w:rFonts w:ascii="Times New Roman" w:hAnsi="Times New Roman" w:cs="Times New Roman"/>
          <w:i/>
          <w:iCs/>
          <w:sz w:val="20"/>
          <w:szCs w:val="20"/>
        </w:rPr>
        <w:t xml:space="preserve">Electrical Systems for </w:t>
      </w:r>
      <w:proofErr w:type="spellStart"/>
      <w:r w:rsidRPr="00E26542">
        <w:rPr>
          <w:rFonts w:ascii="Times New Roman" w:hAnsi="Times New Roman" w:cs="Times New Roman"/>
          <w:i/>
          <w:iCs/>
          <w:sz w:val="20"/>
          <w:szCs w:val="20"/>
        </w:rPr>
        <w:t>eBikes</w:t>
      </w:r>
      <w:proofErr w:type="spellEnd"/>
      <w:r w:rsidRPr="00E26542">
        <w:rPr>
          <w:rFonts w:ascii="Times New Roman" w:hAnsi="Times New Roman" w:cs="Times New Roman"/>
          <w:i/>
          <w:iCs/>
          <w:sz w:val="20"/>
          <w:szCs w:val="20"/>
        </w:rPr>
        <w:t>,</w:t>
      </w:r>
      <w:r w:rsidRPr="00E26542">
        <w:rPr>
          <w:rFonts w:ascii="Times New Roman" w:hAnsi="Times New Roman" w:cs="Times New Roman"/>
          <w:sz w:val="20"/>
          <w:szCs w:val="20"/>
        </w:rPr>
        <w:t> as applicable.</w:t>
      </w:r>
    </w:p>
    <w:p w14:paraId="4C708BE1" w14:textId="77777777" w:rsidR="008C36CD" w:rsidRPr="00E26542" w:rsidRDefault="008C36CD" w:rsidP="008C36CD">
      <w:pPr>
        <w:pStyle w:val="ListParagraph"/>
        <w:numPr>
          <w:ilvl w:val="0"/>
          <w:numId w:val="3"/>
        </w:numPr>
        <w:spacing w:after="160" w:line="480" w:lineRule="auto"/>
        <w:ind w:left="270" w:hanging="270"/>
        <w:contextualSpacing/>
        <w:rPr>
          <w:rFonts w:ascii="Times New Roman" w:hAnsi="Times New Roman" w:cs="Times New Roman"/>
          <w:i/>
          <w:iCs/>
          <w:sz w:val="20"/>
          <w:szCs w:val="20"/>
        </w:rPr>
      </w:pPr>
      <w:r w:rsidRPr="00E26542">
        <w:rPr>
          <w:rFonts w:ascii="Times New Roman" w:hAnsi="Times New Roman" w:cs="Times New Roman"/>
          <w:sz w:val="20"/>
          <w:szCs w:val="20"/>
        </w:rPr>
        <w:t xml:space="preserve">Charging equipment for powered micromobility devices shall be listed and labeled in accordance with UL 4900, </w:t>
      </w:r>
      <w:r w:rsidRPr="00E26542">
        <w:rPr>
          <w:rFonts w:ascii="Times New Roman" w:hAnsi="Times New Roman" w:cs="Times New Roman"/>
          <w:i/>
          <w:iCs/>
          <w:sz w:val="20"/>
          <w:szCs w:val="20"/>
        </w:rPr>
        <w:t xml:space="preserve">UL LLC Outline of Investigation for Micromobility Charging Equipment.  </w:t>
      </w:r>
    </w:p>
    <w:p w14:paraId="14B31DB1" w14:textId="77777777" w:rsidR="008C36CD" w:rsidRPr="00E26542" w:rsidRDefault="008C36CD" w:rsidP="008C36CD">
      <w:pPr>
        <w:pStyle w:val="ListParagraph"/>
        <w:numPr>
          <w:ilvl w:val="0"/>
          <w:numId w:val="3"/>
        </w:numPr>
        <w:spacing w:after="160" w:line="480" w:lineRule="auto"/>
        <w:ind w:left="270" w:hanging="270"/>
        <w:contextualSpacing/>
        <w:rPr>
          <w:rFonts w:ascii="Times New Roman" w:hAnsi="Times New Roman" w:cs="Times New Roman"/>
          <w:sz w:val="20"/>
          <w:szCs w:val="20"/>
        </w:rPr>
      </w:pPr>
      <w:r w:rsidRPr="00E26542">
        <w:rPr>
          <w:rFonts w:ascii="Times New Roman" w:hAnsi="Times New Roman" w:cs="Times New Roman"/>
          <w:sz w:val="20"/>
          <w:szCs w:val="20"/>
        </w:rPr>
        <w:t xml:space="preserve"> Micromobility Device Battery Charging.</w:t>
      </w:r>
    </w:p>
    <w:p w14:paraId="3686D8CE" w14:textId="77777777" w:rsidR="008C36CD" w:rsidRPr="00E26542" w:rsidRDefault="008C36CD" w:rsidP="008C36CD">
      <w:pPr>
        <w:pStyle w:val="ListParagraph"/>
        <w:spacing w:line="480" w:lineRule="auto"/>
        <w:ind w:left="270"/>
        <w:rPr>
          <w:rFonts w:ascii="Times New Roman" w:hAnsi="Times New Roman" w:cs="Times New Roman"/>
          <w:sz w:val="20"/>
          <w:szCs w:val="20"/>
        </w:rPr>
      </w:pPr>
      <w:r w:rsidRPr="00E26542">
        <w:rPr>
          <w:rFonts w:ascii="Times New Roman" w:hAnsi="Times New Roman" w:cs="Times New Roman"/>
          <w:sz w:val="20"/>
          <w:szCs w:val="20"/>
        </w:rPr>
        <w:t xml:space="preserve">Battery charging for powered micromobility devices and batteries for such devices shall be in accordance with </w:t>
      </w:r>
      <w:proofErr w:type="gramStart"/>
      <w:r w:rsidRPr="00E26542">
        <w:rPr>
          <w:rFonts w:ascii="Times New Roman" w:hAnsi="Times New Roman" w:cs="Times New Roman"/>
          <w:sz w:val="20"/>
          <w:szCs w:val="20"/>
        </w:rPr>
        <w:t>all of</w:t>
      </w:r>
      <w:proofErr w:type="gramEnd"/>
      <w:r w:rsidRPr="00E26542">
        <w:rPr>
          <w:rFonts w:ascii="Times New Roman" w:hAnsi="Times New Roman" w:cs="Times New Roman"/>
          <w:sz w:val="20"/>
          <w:szCs w:val="20"/>
        </w:rPr>
        <w:t xml:space="preserve"> the following:</w:t>
      </w:r>
    </w:p>
    <w:p w14:paraId="6E3837F1" w14:textId="77777777" w:rsidR="008C36CD" w:rsidRPr="00E26542" w:rsidRDefault="008C36CD" w:rsidP="008C36CD">
      <w:pPr>
        <w:pStyle w:val="ListParagraph"/>
        <w:numPr>
          <w:ilvl w:val="0"/>
          <w:numId w:val="2"/>
        </w:numPr>
        <w:spacing w:after="160" w:line="480" w:lineRule="auto"/>
        <w:contextualSpacing/>
        <w:rPr>
          <w:rFonts w:ascii="Times New Roman" w:hAnsi="Times New Roman" w:cs="Times New Roman"/>
          <w:sz w:val="20"/>
          <w:szCs w:val="20"/>
        </w:rPr>
      </w:pPr>
      <w:r w:rsidRPr="00E26542">
        <w:rPr>
          <w:rFonts w:ascii="Times New Roman" w:hAnsi="Times New Roman" w:cs="Times New Roman"/>
          <w:sz w:val="20"/>
          <w:szCs w:val="20"/>
        </w:rPr>
        <w:t xml:space="preserve">The charging equipment for each device shall be plugged directly into a listed </w:t>
      </w:r>
      <w:proofErr w:type="gramStart"/>
      <w:r w:rsidRPr="00E26542">
        <w:rPr>
          <w:rFonts w:ascii="Times New Roman" w:hAnsi="Times New Roman" w:cs="Times New Roman"/>
          <w:sz w:val="20"/>
          <w:szCs w:val="20"/>
        </w:rPr>
        <w:t>receptacle;</w:t>
      </w:r>
      <w:proofErr w:type="gramEnd"/>
    </w:p>
    <w:p w14:paraId="7DC701F9" w14:textId="77777777" w:rsidR="008C36CD" w:rsidRPr="00E26542" w:rsidRDefault="008C36CD" w:rsidP="008C36CD">
      <w:pPr>
        <w:pStyle w:val="ListParagraph"/>
        <w:numPr>
          <w:ilvl w:val="0"/>
          <w:numId w:val="2"/>
        </w:numPr>
        <w:spacing w:after="160" w:line="480" w:lineRule="auto"/>
        <w:contextualSpacing/>
        <w:rPr>
          <w:rFonts w:ascii="Times New Roman" w:hAnsi="Times New Roman" w:cs="Times New Roman"/>
          <w:sz w:val="20"/>
          <w:szCs w:val="20"/>
        </w:rPr>
      </w:pPr>
      <w:r w:rsidRPr="00E26542">
        <w:rPr>
          <w:rFonts w:ascii="Times New Roman" w:hAnsi="Times New Roman" w:cs="Times New Roman"/>
          <w:sz w:val="20"/>
          <w:szCs w:val="20"/>
        </w:rPr>
        <w:t xml:space="preserve">Extension cords and relocatable power taps shall not be </w:t>
      </w:r>
      <w:proofErr w:type="gramStart"/>
      <w:r w:rsidRPr="00E26542">
        <w:rPr>
          <w:rFonts w:ascii="Times New Roman" w:hAnsi="Times New Roman" w:cs="Times New Roman"/>
          <w:sz w:val="20"/>
          <w:szCs w:val="20"/>
        </w:rPr>
        <w:t>utilized;</w:t>
      </w:r>
      <w:proofErr w:type="gramEnd"/>
    </w:p>
    <w:p w14:paraId="56A39D2D" w14:textId="77777777" w:rsidR="008C36CD" w:rsidRPr="00E26542" w:rsidRDefault="008C36CD" w:rsidP="008C36CD">
      <w:pPr>
        <w:pStyle w:val="ListParagraph"/>
        <w:numPr>
          <w:ilvl w:val="0"/>
          <w:numId w:val="2"/>
        </w:numPr>
        <w:spacing w:after="160" w:line="480" w:lineRule="auto"/>
        <w:contextualSpacing/>
        <w:rPr>
          <w:rFonts w:ascii="Times New Roman" w:hAnsi="Times New Roman" w:cs="Times New Roman"/>
          <w:sz w:val="20"/>
          <w:szCs w:val="20"/>
        </w:rPr>
      </w:pPr>
      <w:r w:rsidRPr="00E26542">
        <w:rPr>
          <w:rFonts w:ascii="Times New Roman" w:hAnsi="Times New Roman" w:cs="Times New Roman"/>
          <w:sz w:val="20"/>
          <w:szCs w:val="20"/>
        </w:rPr>
        <w:t>Storage of combustible materials, combustible waste, or hazardous materials shall not be permitted within 10 ft (3 m) of the charging equipment; and</w:t>
      </w:r>
    </w:p>
    <w:p w14:paraId="5DD19A97" w14:textId="77777777" w:rsidR="008C36CD" w:rsidRPr="00E26542" w:rsidRDefault="008C36CD" w:rsidP="008C36CD">
      <w:pPr>
        <w:pStyle w:val="ListParagraph"/>
        <w:numPr>
          <w:ilvl w:val="0"/>
          <w:numId w:val="2"/>
        </w:numPr>
        <w:spacing w:after="160" w:line="480" w:lineRule="auto"/>
        <w:contextualSpacing/>
        <w:rPr>
          <w:rFonts w:ascii="Times New Roman" w:hAnsi="Times New Roman" w:cs="Times New Roman"/>
          <w:sz w:val="20"/>
          <w:szCs w:val="20"/>
        </w:rPr>
      </w:pPr>
      <w:r w:rsidRPr="00E26542">
        <w:rPr>
          <w:rFonts w:ascii="Times New Roman" w:hAnsi="Times New Roman" w:cs="Times New Roman"/>
          <w:sz w:val="20"/>
          <w:szCs w:val="20"/>
        </w:rPr>
        <w:t xml:space="preserve">The charging operation shall not </w:t>
      </w:r>
      <w:proofErr w:type="gramStart"/>
      <w:r w:rsidRPr="00E26542">
        <w:rPr>
          <w:rFonts w:ascii="Times New Roman" w:hAnsi="Times New Roman" w:cs="Times New Roman"/>
          <w:sz w:val="20"/>
          <w:szCs w:val="20"/>
        </w:rPr>
        <w:t>be located in</w:t>
      </w:r>
      <w:proofErr w:type="gramEnd"/>
      <w:r w:rsidRPr="00E26542">
        <w:rPr>
          <w:rFonts w:ascii="Times New Roman" w:hAnsi="Times New Roman" w:cs="Times New Roman"/>
          <w:sz w:val="20"/>
          <w:szCs w:val="20"/>
        </w:rPr>
        <w:t xml:space="preserve"> any exit access corridor or exit enclosure.</w:t>
      </w:r>
    </w:p>
    <w:p w14:paraId="4D248B7D" w14:textId="77777777" w:rsidR="008C36CD" w:rsidRPr="00E26542" w:rsidRDefault="008C36CD" w:rsidP="008C36CD">
      <w:pPr>
        <w:pStyle w:val="ListParagraph"/>
        <w:numPr>
          <w:ilvl w:val="0"/>
          <w:numId w:val="7"/>
        </w:numPr>
        <w:spacing w:after="160" w:line="480" w:lineRule="auto"/>
        <w:contextualSpacing/>
        <w:rPr>
          <w:rFonts w:ascii="Times New Roman" w:hAnsi="Times New Roman" w:cs="Times New Roman"/>
          <w:sz w:val="20"/>
          <w:szCs w:val="20"/>
        </w:rPr>
      </w:pPr>
      <w:r w:rsidRPr="00E26542">
        <w:rPr>
          <w:rFonts w:ascii="Times New Roman" w:hAnsi="Times New Roman" w:cs="Times New Roman"/>
          <w:sz w:val="20"/>
          <w:szCs w:val="20"/>
        </w:rPr>
        <w:t xml:space="preserve"> The assembly or reconditioning of a lithium-ion battery using cells removed from used lithium-ion batteries is prohibited.</w:t>
      </w:r>
    </w:p>
    <w:p w14:paraId="0E082530" w14:textId="77777777" w:rsidR="008C36CD" w:rsidRPr="00E26542" w:rsidRDefault="008C36CD" w:rsidP="008C36CD">
      <w:pPr>
        <w:pStyle w:val="ListParagraph"/>
        <w:numPr>
          <w:ilvl w:val="0"/>
          <w:numId w:val="7"/>
        </w:numPr>
        <w:spacing w:after="160" w:line="480" w:lineRule="auto"/>
        <w:contextualSpacing/>
        <w:rPr>
          <w:rFonts w:ascii="Times New Roman" w:hAnsi="Times New Roman" w:cs="Times New Roman"/>
          <w:sz w:val="20"/>
          <w:szCs w:val="20"/>
        </w:rPr>
      </w:pPr>
      <w:r w:rsidRPr="00E26542">
        <w:rPr>
          <w:rFonts w:ascii="Times New Roman" w:hAnsi="Times New Roman" w:cs="Times New Roman"/>
          <w:sz w:val="20"/>
          <w:szCs w:val="20"/>
        </w:rPr>
        <w:t xml:space="preserve"> The sale or offer for sale of lithium-ion batteries or micromobility devices that do not comply with this rule is prohibited.</w:t>
      </w:r>
    </w:p>
    <w:p w14:paraId="69874FB1" w14:textId="77777777" w:rsidR="008C36CD" w:rsidRPr="00E26542" w:rsidRDefault="008C36CD" w:rsidP="008C36CD">
      <w:pPr>
        <w:spacing w:line="480" w:lineRule="auto"/>
        <w:rPr>
          <w:rFonts w:ascii="Times New Roman" w:hAnsi="Times New Roman"/>
          <w:b/>
          <w:bCs/>
          <w:sz w:val="20"/>
          <w:szCs w:val="20"/>
          <w:u w:val="single"/>
        </w:rPr>
      </w:pPr>
      <w:r w:rsidRPr="00E26542">
        <w:rPr>
          <w:rFonts w:ascii="Times New Roman" w:hAnsi="Times New Roman"/>
          <w:b/>
          <w:bCs/>
          <w:sz w:val="20"/>
          <w:szCs w:val="20"/>
          <w:u w:val="single"/>
        </w:rPr>
        <w:t>69A-73.004 Protective Systems and Designs</w:t>
      </w:r>
    </w:p>
    <w:p w14:paraId="07092E6B" w14:textId="77777777" w:rsidR="008C36CD" w:rsidRPr="00E26542" w:rsidRDefault="008C36CD" w:rsidP="008C36CD">
      <w:pPr>
        <w:pStyle w:val="ListParagraph"/>
        <w:numPr>
          <w:ilvl w:val="0"/>
          <w:numId w:val="4"/>
        </w:numPr>
        <w:spacing w:after="160" w:line="480" w:lineRule="auto"/>
        <w:ind w:left="270" w:hanging="270"/>
        <w:contextualSpacing/>
        <w:rPr>
          <w:rStyle w:val="eop"/>
          <w:rFonts w:ascii="Times New Roman" w:hAnsi="Times New Roman" w:cs="Times New Roman"/>
          <w:color w:val="000000"/>
          <w:sz w:val="20"/>
          <w:szCs w:val="20"/>
          <w:shd w:val="clear" w:color="auto" w:fill="FFFFFF"/>
        </w:rPr>
      </w:pPr>
      <w:r w:rsidRPr="00E26542">
        <w:rPr>
          <w:rStyle w:val="normaltextrun"/>
          <w:rFonts w:ascii="Times New Roman" w:hAnsi="Times New Roman" w:cs="Times New Roman"/>
          <w:color w:val="000000"/>
          <w:sz w:val="20"/>
          <w:szCs w:val="20"/>
          <w:shd w:val="clear" w:color="auto" w:fill="FFFFFF"/>
        </w:rPr>
        <w:t xml:space="preserve"> Effective January 1, 2026, automatic sprinkler systems shall be installed in accordance with NFPA </w:t>
      </w:r>
      <w:proofErr w:type="gramStart"/>
      <w:r w:rsidRPr="00E26542">
        <w:rPr>
          <w:rStyle w:val="normaltextrun"/>
          <w:rFonts w:ascii="Times New Roman" w:hAnsi="Times New Roman" w:cs="Times New Roman"/>
          <w:color w:val="000000"/>
          <w:sz w:val="20"/>
          <w:szCs w:val="20"/>
          <w:shd w:val="clear" w:color="auto" w:fill="FFFFFF"/>
        </w:rPr>
        <w:t>13  in</w:t>
      </w:r>
      <w:proofErr w:type="gramEnd"/>
      <w:r w:rsidRPr="00E26542">
        <w:rPr>
          <w:rStyle w:val="normaltextrun"/>
          <w:rFonts w:ascii="Times New Roman" w:hAnsi="Times New Roman" w:cs="Times New Roman"/>
          <w:color w:val="000000"/>
          <w:sz w:val="20"/>
          <w:szCs w:val="20"/>
          <w:shd w:val="clear" w:color="auto" w:fill="FFFFFF"/>
        </w:rPr>
        <w:t xml:space="preserve"> all new parking structures.</w:t>
      </w:r>
    </w:p>
    <w:p w14:paraId="06466EAE" w14:textId="77777777" w:rsidR="008C36CD" w:rsidRPr="00E26542" w:rsidRDefault="008C36CD" w:rsidP="008C36CD">
      <w:pPr>
        <w:pStyle w:val="ListParagraph"/>
        <w:numPr>
          <w:ilvl w:val="0"/>
          <w:numId w:val="4"/>
        </w:numPr>
        <w:spacing w:after="160" w:line="480" w:lineRule="auto"/>
        <w:ind w:left="270" w:hanging="270"/>
        <w:contextualSpacing/>
        <w:rPr>
          <w:rFonts w:ascii="Times New Roman" w:hAnsi="Times New Roman" w:cs="Times New Roman"/>
          <w:sz w:val="20"/>
          <w:szCs w:val="20"/>
        </w:rPr>
      </w:pPr>
      <w:r w:rsidRPr="00E26542">
        <w:rPr>
          <w:rFonts w:ascii="Times New Roman" w:hAnsi="Times New Roman" w:cs="Times New Roman"/>
          <w:sz w:val="20"/>
          <w:szCs w:val="20"/>
        </w:rPr>
        <w:lastRenderedPageBreak/>
        <w:t xml:space="preserve"> Charging Station Installation of EVSE’s, EVPE’s, or WPTE’s shall be prohibited within 15 feet of </w:t>
      </w:r>
      <w:proofErr w:type="gramStart"/>
      <w:r w:rsidRPr="00E26542">
        <w:rPr>
          <w:rFonts w:ascii="Times New Roman" w:hAnsi="Times New Roman" w:cs="Times New Roman"/>
          <w:sz w:val="20"/>
          <w:szCs w:val="20"/>
        </w:rPr>
        <w:t>any  fire</w:t>
      </w:r>
      <w:proofErr w:type="gramEnd"/>
      <w:r w:rsidRPr="00E26542">
        <w:rPr>
          <w:rFonts w:ascii="Times New Roman" w:hAnsi="Times New Roman" w:cs="Times New Roman"/>
          <w:sz w:val="20"/>
          <w:szCs w:val="20"/>
        </w:rPr>
        <w:t xml:space="preserve"> hydrant or fire department connection.</w:t>
      </w:r>
    </w:p>
    <w:p w14:paraId="5710B857" w14:textId="77777777" w:rsidR="008C36CD" w:rsidRPr="00E26542" w:rsidRDefault="008C36CD" w:rsidP="008C36CD">
      <w:pPr>
        <w:pStyle w:val="ListParagraph"/>
        <w:numPr>
          <w:ilvl w:val="0"/>
          <w:numId w:val="4"/>
        </w:numPr>
        <w:spacing w:after="160" w:line="480" w:lineRule="auto"/>
        <w:ind w:left="270" w:hanging="270"/>
        <w:contextualSpacing/>
        <w:rPr>
          <w:rStyle w:val="eop"/>
          <w:rFonts w:ascii="Times New Roman" w:hAnsi="Times New Roman" w:cs="Times New Roman"/>
          <w:color w:val="000000"/>
          <w:sz w:val="20"/>
          <w:szCs w:val="20"/>
          <w:shd w:val="clear" w:color="auto" w:fill="FFFFFF"/>
        </w:rPr>
      </w:pPr>
      <w:r w:rsidRPr="00E26542">
        <w:rPr>
          <w:rStyle w:val="normaltextrun"/>
          <w:rFonts w:ascii="Times New Roman" w:hAnsi="Times New Roman" w:cs="Times New Roman"/>
          <w:sz w:val="20"/>
          <w:szCs w:val="20"/>
        </w:rPr>
        <w:t xml:space="preserve"> Electric vehicle charging stations shall be listed and labeled in accordance with UL 2202, </w:t>
      </w:r>
      <w:r w:rsidRPr="00E26542">
        <w:rPr>
          <w:rStyle w:val="normaltextrun"/>
          <w:rFonts w:ascii="Times New Roman" w:hAnsi="Times New Roman" w:cs="Times New Roman"/>
          <w:i/>
          <w:iCs/>
          <w:sz w:val="20"/>
          <w:szCs w:val="20"/>
        </w:rPr>
        <w:t>Standard for   Electric Vehicle (EV) Charging System Equipment</w:t>
      </w:r>
      <w:r w:rsidRPr="00E26542">
        <w:rPr>
          <w:rStyle w:val="normaltextrun"/>
          <w:rFonts w:ascii="Times New Roman" w:hAnsi="Times New Roman" w:cs="Times New Roman"/>
          <w:sz w:val="20"/>
          <w:szCs w:val="20"/>
        </w:rPr>
        <w:t>.</w:t>
      </w:r>
      <w:r w:rsidRPr="00E26542">
        <w:rPr>
          <w:rStyle w:val="eop"/>
          <w:rFonts w:ascii="Times New Roman" w:hAnsi="Times New Roman" w:cs="Times New Roman"/>
          <w:sz w:val="20"/>
          <w:szCs w:val="20"/>
        </w:rPr>
        <w:t> </w:t>
      </w:r>
    </w:p>
    <w:p w14:paraId="377CC51C" w14:textId="77777777" w:rsidR="008C36CD" w:rsidRPr="00E26542" w:rsidRDefault="008C36CD" w:rsidP="008C36CD">
      <w:pPr>
        <w:pStyle w:val="ListParagraph"/>
        <w:numPr>
          <w:ilvl w:val="0"/>
          <w:numId w:val="4"/>
        </w:numPr>
        <w:spacing w:after="160" w:line="480" w:lineRule="auto"/>
        <w:ind w:left="270" w:hanging="270"/>
        <w:contextualSpacing/>
        <w:rPr>
          <w:rStyle w:val="eop"/>
          <w:rFonts w:ascii="Times New Roman" w:hAnsi="Times New Roman" w:cs="Times New Roman"/>
          <w:color w:val="000000"/>
          <w:sz w:val="20"/>
          <w:szCs w:val="20"/>
          <w:shd w:val="clear" w:color="auto" w:fill="FFFFFF"/>
        </w:rPr>
      </w:pPr>
      <w:r w:rsidRPr="00E26542">
        <w:rPr>
          <w:rStyle w:val="normaltextrun"/>
          <w:rFonts w:ascii="Times New Roman" w:hAnsi="Times New Roman" w:cs="Times New Roman"/>
          <w:sz w:val="20"/>
          <w:szCs w:val="20"/>
        </w:rPr>
        <w:t>Electric vehicle supply equipment shall be listed and labeled in accordance with UL 2594, </w:t>
      </w:r>
      <w:proofErr w:type="gramStart"/>
      <w:r w:rsidRPr="00E26542">
        <w:rPr>
          <w:rStyle w:val="normaltextrun"/>
          <w:rFonts w:ascii="Times New Roman" w:hAnsi="Times New Roman" w:cs="Times New Roman"/>
          <w:i/>
          <w:iCs/>
          <w:sz w:val="20"/>
          <w:szCs w:val="20"/>
        </w:rPr>
        <w:t>Standard  for</w:t>
      </w:r>
      <w:proofErr w:type="gramEnd"/>
      <w:r w:rsidRPr="00E26542">
        <w:rPr>
          <w:rStyle w:val="normaltextrun"/>
          <w:rFonts w:ascii="Times New Roman" w:hAnsi="Times New Roman" w:cs="Times New Roman"/>
          <w:i/>
          <w:iCs/>
          <w:sz w:val="20"/>
          <w:szCs w:val="20"/>
        </w:rPr>
        <w:t xml:space="preserve"> Electric Vehicle Supply Equipment</w:t>
      </w:r>
      <w:r w:rsidRPr="00E26542">
        <w:rPr>
          <w:rStyle w:val="normaltextrun"/>
          <w:rFonts w:ascii="Times New Roman" w:hAnsi="Times New Roman" w:cs="Times New Roman"/>
          <w:sz w:val="20"/>
          <w:szCs w:val="20"/>
        </w:rPr>
        <w:t>.</w:t>
      </w:r>
      <w:r w:rsidRPr="00E26542">
        <w:rPr>
          <w:rStyle w:val="eop"/>
          <w:rFonts w:ascii="Times New Roman" w:hAnsi="Times New Roman" w:cs="Times New Roman"/>
          <w:sz w:val="20"/>
          <w:szCs w:val="20"/>
        </w:rPr>
        <w:t> </w:t>
      </w:r>
    </w:p>
    <w:p w14:paraId="48A2A567" w14:textId="77777777" w:rsidR="008C36CD" w:rsidRPr="00E26542" w:rsidRDefault="008C36CD" w:rsidP="008C36CD">
      <w:pPr>
        <w:pStyle w:val="ListParagraph"/>
        <w:numPr>
          <w:ilvl w:val="0"/>
          <w:numId w:val="4"/>
        </w:numPr>
        <w:spacing w:after="160" w:line="480" w:lineRule="auto"/>
        <w:ind w:left="270" w:hanging="270"/>
        <w:contextualSpacing/>
        <w:rPr>
          <w:rStyle w:val="eop"/>
          <w:rFonts w:ascii="Times New Roman" w:hAnsi="Times New Roman" w:cs="Times New Roman"/>
          <w:color w:val="000000"/>
          <w:sz w:val="20"/>
          <w:szCs w:val="20"/>
          <w:shd w:val="clear" w:color="auto" w:fill="FFFFFF"/>
        </w:rPr>
      </w:pPr>
      <w:r w:rsidRPr="00E26542">
        <w:rPr>
          <w:rStyle w:val="normaltextrun"/>
          <w:rFonts w:ascii="Times New Roman" w:hAnsi="Times New Roman" w:cs="Times New Roman"/>
          <w:sz w:val="20"/>
          <w:szCs w:val="20"/>
        </w:rPr>
        <w:t>Wireless power transfer equipment for transferring power to an electric vehicle shall be listed and labeled in accordance with UL 2750, </w:t>
      </w:r>
      <w:r w:rsidRPr="00E26542">
        <w:rPr>
          <w:rStyle w:val="normaltextrun"/>
          <w:rFonts w:ascii="Times New Roman" w:hAnsi="Times New Roman" w:cs="Times New Roman"/>
          <w:i/>
          <w:iCs/>
          <w:sz w:val="20"/>
          <w:szCs w:val="20"/>
        </w:rPr>
        <w:t>UL Standard for Wireless Power Transfer Equipment for Electric Vehicles</w:t>
      </w:r>
      <w:r w:rsidRPr="00E26542">
        <w:rPr>
          <w:rStyle w:val="normaltextrun"/>
          <w:rFonts w:ascii="Times New Roman" w:hAnsi="Times New Roman" w:cs="Times New Roman"/>
          <w:sz w:val="20"/>
          <w:szCs w:val="20"/>
        </w:rPr>
        <w:t>.</w:t>
      </w:r>
      <w:r w:rsidRPr="00E26542">
        <w:rPr>
          <w:rStyle w:val="eop"/>
          <w:rFonts w:ascii="Times New Roman" w:hAnsi="Times New Roman" w:cs="Times New Roman"/>
          <w:sz w:val="20"/>
          <w:szCs w:val="20"/>
        </w:rPr>
        <w:t> </w:t>
      </w:r>
    </w:p>
    <w:p w14:paraId="22B03F48" w14:textId="77777777" w:rsidR="008C36CD" w:rsidRPr="00E26542" w:rsidRDefault="008C36CD" w:rsidP="008C36CD">
      <w:pPr>
        <w:pStyle w:val="ListParagraph"/>
        <w:numPr>
          <w:ilvl w:val="0"/>
          <w:numId w:val="4"/>
        </w:numPr>
        <w:spacing w:after="160" w:line="480" w:lineRule="auto"/>
        <w:ind w:left="270" w:hanging="270"/>
        <w:contextualSpacing/>
        <w:rPr>
          <w:rStyle w:val="eop"/>
          <w:rFonts w:ascii="Times New Roman" w:hAnsi="Times New Roman" w:cs="Times New Roman"/>
          <w:color w:val="000000"/>
          <w:sz w:val="20"/>
          <w:szCs w:val="20"/>
          <w:shd w:val="clear" w:color="auto" w:fill="FFFFFF"/>
        </w:rPr>
      </w:pPr>
      <w:r w:rsidRPr="00E26542">
        <w:rPr>
          <w:rStyle w:val="eop"/>
          <w:rFonts w:ascii="Times New Roman" w:hAnsi="Times New Roman" w:cs="Times New Roman"/>
          <w:color w:val="000000"/>
          <w:sz w:val="20"/>
          <w:szCs w:val="20"/>
        </w:rPr>
        <w:t>Electric vehicle power export equipment shall be listed and labeled in accordance with</w:t>
      </w:r>
      <w:r w:rsidRPr="00E26542">
        <w:rPr>
          <w:rStyle w:val="eop"/>
          <w:rFonts w:ascii="Times New Roman" w:hAnsi="Times New Roman" w:cs="Times New Roman"/>
          <w:color w:val="000000"/>
          <w:sz w:val="20"/>
          <w:szCs w:val="20"/>
          <w:shd w:val="clear" w:color="auto" w:fill="FFFFFF"/>
        </w:rPr>
        <w:t xml:space="preserve"> UL 9741, </w:t>
      </w:r>
      <w:r w:rsidRPr="00E26542">
        <w:rPr>
          <w:rStyle w:val="eop"/>
          <w:rFonts w:ascii="Times New Roman" w:hAnsi="Times New Roman" w:cs="Times New Roman"/>
          <w:i/>
          <w:iCs/>
          <w:color w:val="000000"/>
          <w:sz w:val="20"/>
          <w:szCs w:val="20"/>
          <w:shd w:val="clear" w:color="auto" w:fill="FFFFFF"/>
        </w:rPr>
        <w:t>Standard for Electric Vehicle Power Export Equipment (EVPE).</w:t>
      </w:r>
    </w:p>
    <w:p w14:paraId="5E785EFB" w14:textId="77777777" w:rsidR="008C36CD" w:rsidRPr="00E26542" w:rsidRDefault="008C36CD" w:rsidP="008C36CD">
      <w:pPr>
        <w:spacing w:line="480" w:lineRule="auto"/>
        <w:rPr>
          <w:rFonts w:ascii="Times New Roman" w:hAnsi="Times New Roman"/>
          <w:b/>
          <w:color w:val="000000"/>
          <w:sz w:val="20"/>
          <w:szCs w:val="20"/>
          <w:shd w:val="clear" w:color="auto" w:fill="FFFFFF"/>
        </w:rPr>
      </w:pPr>
      <w:r w:rsidRPr="00E26542">
        <w:rPr>
          <w:rFonts w:ascii="Times New Roman" w:hAnsi="Times New Roman"/>
          <w:b/>
          <w:color w:val="000000"/>
          <w:sz w:val="20"/>
          <w:szCs w:val="20"/>
          <w:shd w:val="clear" w:color="auto" w:fill="FFFFFF"/>
        </w:rPr>
        <w:t>69A-73.005 Storage of Wrecked or Inoperable Electric Vehicles</w:t>
      </w:r>
    </w:p>
    <w:p w14:paraId="4AE0BB5E" w14:textId="77777777" w:rsidR="008C36CD" w:rsidRPr="00E26542" w:rsidRDefault="008C36CD" w:rsidP="008C36CD">
      <w:pPr>
        <w:pStyle w:val="ListParagraph"/>
        <w:numPr>
          <w:ilvl w:val="0"/>
          <w:numId w:val="6"/>
        </w:numPr>
        <w:spacing w:after="160" w:line="480" w:lineRule="auto"/>
        <w:contextualSpacing/>
        <w:rPr>
          <w:rFonts w:ascii="Times New Roman" w:hAnsi="Times New Roman" w:cs="Times New Roman"/>
          <w:color w:val="000000"/>
          <w:sz w:val="20"/>
          <w:szCs w:val="20"/>
          <w:shd w:val="clear" w:color="auto" w:fill="FFFFFF"/>
        </w:rPr>
      </w:pPr>
      <w:r w:rsidRPr="00E26542">
        <w:rPr>
          <w:rFonts w:ascii="Times New Roman" w:hAnsi="Times New Roman" w:cs="Times New Roman"/>
          <w:color w:val="000000"/>
          <w:sz w:val="20"/>
          <w:szCs w:val="20"/>
          <w:shd w:val="clear" w:color="auto" w:fill="FFFFFF"/>
        </w:rPr>
        <w:t>Electric Vehicles with damaged, burned or potentially damaged or burned batteries shall not be stored or parked within 50 ft of a structure until the battery can be safely discharged by trained and qualified staff in accordance with the vehicle manufacture’s procedures.</w:t>
      </w:r>
    </w:p>
    <w:p w14:paraId="2A80EC7A" w14:textId="77777777" w:rsidR="008C36CD" w:rsidRPr="00E26542" w:rsidRDefault="008C36CD" w:rsidP="008C36CD">
      <w:pPr>
        <w:pStyle w:val="ListParagraph"/>
        <w:spacing w:line="480" w:lineRule="auto"/>
        <w:ind w:left="360"/>
        <w:rPr>
          <w:rFonts w:ascii="Times New Roman" w:hAnsi="Times New Roman" w:cs="Times New Roman"/>
          <w:color w:val="000000"/>
          <w:sz w:val="20"/>
          <w:szCs w:val="20"/>
          <w:shd w:val="clear" w:color="auto" w:fill="FFFFFF"/>
        </w:rPr>
      </w:pPr>
    </w:p>
    <w:p w14:paraId="2EFCCA4E" w14:textId="77777777" w:rsidR="008C36CD" w:rsidRPr="00E26542" w:rsidRDefault="008C36CD" w:rsidP="008C36CD">
      <w:pPr>
        <w:spacing w:line="480" w:lineRule="auto"/>
        <w:rPr>
          <w:rFonts w:ascii="Times New Roman" w:hAnsi="Times New Roman"/>
          <w:b/>
          <w:color w:val="000000"/>
          <w:sz w:val="20"/>
          <w:szCs w:val="20"/>
          <w:shd w:val="clear" w:color="auto" w:fill="FFFFFF"/>
        </w:rPr>
      </w:pPr>
      <w:r w:rsidRPr="00E26542">
        <w:rPr>
          <w:rFonts w:ascii="Times New Roman" w:hAnsi="Times New Roman"/>
          <w:b/>
          <w:color w:val="000000"/>
          <w:sz w:val="20"/>
          <w:szCs w:val="20"/>
          <w:shd w:val="clear" w:color="auto" w:fill="FFFFFF"/>
        </w:rPr>
        <w:t xml:space="preserve">69A-73.006 Parking or Storage of Electric Vehicles and other energy storage systems within a Special Flood Hazard Area During a Hurricane or Tropical Storm Warning with potential storm surge threats.     </w:t>
      </w:r>
    </w:p>
    <w:p w14:paraId="32E9DED7" w14:textId="77777777" w:rsidR="008C36CD" w:rsidRPr="00E26542" w:rsidRDefault="008C36CD" w:rsidP="008C36CD">
      <w:pPr>
        <w:pStyle w:val="ListParagraph"/>
        <w:spacing w:line="480" w:lineRule="auto"/>
        <w:ind w:left="360"/>
        <w:rPr>
          <w:rFonts w:ascii="Times New Roman" w:hAnsi="Times New Roman" w:cs="Times New Roman"/>
          <w:color w:val="000000"/>
          <w:sz w:val="20"/>
          <w:szCs w:val="20"/>
          <w:shd w:val="clear" w:color="auto" w:fill="FFFFFF"/>
        </w:rPr>
      </w:pPr>
      <w:r w:rsidRPr="00E26542">
        <w:rPr>
          <w:rFonts w:ascii="Times New Roman" w:hAnsi="Times New Roman" w:cs="Times New Roman"/>
          <w:color w:val="000000"/>
          <w:sz w:val="20"/>
          <w:szCs w:val="20"/>
          <w:shd w:val="clear" w:color="auto" w:fill="FFFFFF"/>
        </w:rPr>
        <w:t xml:space="preserve">When a Hurricane or Tropical Storm Warning is issued for a Special Flood Hazard Area, as defined in the Florida Building Code, the local fire official shall coordinate the development and publication of electric vehicle and energy storage system precautions and mitigations efforts for stored or parked electric vehicles and energy storage systems within the Special Flood Hazard Area identified with a potential storm surge threat. </w:t>
      </w:r>
    </w:p>
    <w:p w14:paraId="5116A30A" w14:textId="77777777" w:rsidR="008C36CD" w:rsidRPr="00E26542" w:rsidRDefault="008C36CD" w:rsidP="008C36CD">
      <w:pPr>
        <w:spacing w:line="480" w:lineRule="auto"/>
        <w:rPr>
          <w:rFonts w:ascii="Times New Roman" w:hAnsi="Times New Roman"/>
          <w:b/>
          <w:color w:val="000000"/>
          <w:sz w:val="20"/>
          <w:szCs w:val="20"/>
          <w:shd w:val="clear" w:color="auto" w:fill="FFFFFF"/>
        </w:rPr>
      </w:pPr>
      <w:r w:rsidRPr="00E26542">
        <w:rPr>
          <w:rFonts w:ascii="Times New Roman" w:hAnsi="Times New Roman"/>
          <w:b/>
          <w:color w:val="000000"/>
          <w:sz w:val="20"/>
          <w:szCs w:val="20"/>
          <w:shd w:val="clear" w:color="auto" w:fill="FFFFFF"/>
        </w:rPr>
        <w:t>69A-73.007 Conflicts</w:t>
      </w:r>
    </w:p>
    <w:p w14:paraId="6C7994AA" w14:textId="77777777" w:rsidR="008C36CD" w:rsidRPr="00E26542" w:rsidRDefault="008C36CD" w:rsidP="008C36CD">
      <w:pPr>
        <w:pStyle w:val="ListParagraph"/>
        <w:numPr>
          <w:ilvl w:val="0"/>
          <w:numId w:val="5"/>
        </w:numPr>
        <w:spacing w:after="160" w:line="480" w:lineRule="auto"/>
        <w:contextualSpacing/>
        <w:rPr>
          <w:rFonts w:ascii="Times New Roman" w:hAnsi="Times New Roman" w:cs="Times New Roman"/>
          <w:color w:val="000000"/>
          <w:sz w:val="20"/>
          <w:szCs w:val="20"/>
          <w:shd w:val="clear" w:color="auto" w:fill="FFFFFF"/>
        </w:rPr>
      </w:pPr>
      <w:r w:rsidRPr="00E26542">
        <w:rPr>
          <w:rFonts w:ascii="Times New Roman" w:hAnsi="Times New Roman" w:cs="Times New Roman"/>
          <w:color w:val="000000"/>
          <w:sz w:val="20"/>
          <w:szCs w:val="20"/>
          <w:shd w:val="clear" w:color="auto" w:fill="FFFFFF"/>
        </w:rPr>
        <w:t>Where there are conflicts in the standard provisions in this Rule and 69A-60, the Florida Fire Prevention Code; the provision that provides the greatest level of building, property protection and life safety, as determined by the AHJ shall apply.</w:t>
      </w:r>
    </w:p>
    <w:p w14:paraId="0F493C64" w14:textId="77777777" w:rsidR="008C36CD" w:rsidRPr="00E26542" w:rsidRDefault="008C36CD" w:rsidP="008C36CD">
      <w:pPr>
        <w:pStyle w:val="ListParagraph"/>
        <w:numPr>
          <w:ilvl w:val="0"/>
          <w:numId w:val="5"/>
        </w:numPr>
        <w:spacing w:after="160" w:line="480" w:lineRule="auto"/>
        <w:contextualSpacing/>
        <w:rPr>
          <w:rFonts w:ascii="Times New Roman" w:hAnsi="Times New Roman" w:cs="Times New Roman"/>
          <w:color w:val="000000"/>
          <w:sz w:val="20"/>
          <w:szCs w:val="20"/>
          <w:shd w:val="clear" w:color="auto" w:fill="FFFFFF"/>
        </w:rPr>
      </w:pPr>
      <w:r w:rsidRPr="00E26542">
        <w:rPr>
          <w:rFonts w:ascii="Times New Roman" w:hAnsi="Times New Roman" w:cs="Times New Roman"/>
          <w:color w:val="000000"/>
          <w:sz w:val="20"/>
          <w:szCs w:val="20"/>
          <w:shd w:val="clear" w:color="auto" w:fill="FFFFFF"/>
        </w:rPr>
        <w:t>Where there are conflicts between the referenced standards in this Rule and 69A-60, the Florida Fire Prevention Code, the most current edition of the reference standard shall apply.</w:t>
      </w:r>
    </w:p>
    <w:p w14:paraId="079E7AE9" w14:textId="77777777" w:rsidR="008C36CD" w:rsidRPr="00905824" w:rsidRDefault="008C36CD" w:rsidP="008C36CD">
      <w:pPr>
        <w:spacing w:after="0" w:line="480" w:lineRule="auto"/>
        <w:jc w:val="both"/>
        <w:rPr>
          <w:rFonts w:ascii="Times New Roman" w:eastAsia="Times New Roman" w:hAnsi="Times New Roman"/>
          <w:sz w:val="20"/>
          <w:szCs w:val="20"/>
        </w:rPr>
      </w:pPr>
      <w:r w:rsidRPr="00E26542">
        <w:rPr>
          <w:rFonts w:ascii="Times New Roman" w:hAnsi="Times New Roman"/>
          <w:color w:val="000000"/>
          <w:sz w:val="20"/>
          <w:szCs w:val="20"/>
          <w:shd w:val="clear" w:color="auto" w:fill="FFFFFF"/>
        </w:rPr>
        <w:lastRenderedPageBreak/>
        <w:t>The provisions of the current edition of the Florida Fire Prevention Code shall apply to all aspects of Energy Storage Systems for Code and administrative provisions not covered by this Rule.</w:t>
      </w:r>
    </w:p>
    <w:p w14:paraId="45A98546" w14:textId="77777777" w:rsidR="008C36CD" w:rsidRPr="00A5311C" w:rsidRDefault="008C36CD" w:rsidP="00FC0C46">
      <w:pPr>
        <w:spacing w:after="0" w:line="360" w:lineRule="auto"/>
        <w:jc w:val="both"/>
        <w:rPr>
          <w:rFonts w:ascii="Times New Roman" w:eastAsia="Times New Roman" w:hAnsi="Times New Roman"/>
          <w:sz w:val="20"/>
          <w:szCs w:val="20"/>
        </w:rPr>
      </w:pPr>
    </w:p>
    <w:p w14:paraId="266F29C2" w14:textId="1C1C52AD" w:rsidR="00FC0C46" w:rsidRPr="00A5311C" w:rsidRDefault="00FC0C46" w:rsidP="00FC0C46">
      <w:pPr>
        <w:spacing w:after="0" w:line="360" w:lineRule="auto"/>
        <w:jc w:val="both"/>
        <w:rPr>
          <w:rFonts w:ascii="Times New Roman" w:eastAsia="Times New Roman" w:hAnsi="Times New Roman"/>
          <w:sz w:val="20"/>
          <w:szCs w:val="20"/>
        </w:rPr>
      </w:pPr>
      <w:r w:rsidRPr="00A5311C">
        <w:rPr>
          <w:rFonts w:ascii="Times New Roman" w:eastAsia="Times New Roman" w:hAnsi="Times New Roman"/>
          <w:sz w:val="20"/>
          <w:szCs w:val="20"/>
        </w:rPr>
        <w:t xml:space="preserve">A copy of the agenda may be obtained by contacting: </w:t>
      </w:r>
      <w:r w:rsidR="00794652">
        <w:rPr>
          <w:rFonts w:ascii="Times New Roman" w:hAnsi="Times New Roman"/>
          <w:sz w:val="20"/>
          <w:szCs w:val="20"/>
        </w:rPr>
        <w:t>Elijah Flowers</w:t>
      </w:r>
      <w:r w:rsidR="005E49F9">
        <w:rPr>
          <w:rFonts w:ascii="Times New Roman" w:hAnsi="Times New Roman"/>
          <w:sz w:val="20"/>
          <w:szCs w:val="20"/>
        </w:rPr>
        <w:t xml:space="preserve"> at, </w:t>
      </w:r>
      <w:r w:rsidR="00971DF3">
        <w:rPr>
          <w:rFonts w:ascii="Times New Roman" w:hAnsi="Times New Roman"/>
          <w:sz w:val="20"/>
          <w:szCs w:val="20"/>
        </w:rPr>
        <w:t>(850) 413-373</w:t>
      </w:r>
      <w:r w:rsidR="009A5EBB">
        <w:rPr>
          <w:rFonts w:ascii="Times New Roman" w:hAnsi="Times New Roman"/>
          <w:sz w:val="20"/>
          <w:szCs w:val="20"/>
        </w:rPr>
        <w:t xml:space="preserve">1, or </w:t>
      </w:r>
      <w:hyperlink r:id="rId10" w:history="1">
        <w:r w:rsidR="009A5EBB" w:rsidRPr="004E08D0">
          <w:rPr>
            <w:rStyle w:val="Hyperlink"/>
            <w:rFonts w:ascii="Times New Roman" w:hAnsi="Times New Roman"/>
            <w:sz w:val="20"/>
            <w:szCs w:val="20"/>
          </w:rPr>
          <w:t>Elijah.Flowers@myfloridacfo.com</w:t>
        </w:r>
      </w:hyperlink>
      <w:r w:rsidR="009A5EBB">
        <w:rPr>
          <w:rFonts w:ascii="Times New Roman" w:hAnsi="Times New Roman"/>
          <w:sz w:val="20"/>
          <w:szCs w:val="20"/>
        </w:rPr>
        <w:t xml:space="preserve">. </w:t>
      </w:r>
    </w:p>
    <w:p w14:paraId="66700CE2" w14:textId="49A9755A" w:rsidR="00905824" w:rsidRDefault="00FC0C46" w:rsidP="00FC0C46">
      <w:pPr>
        <w:spacing w:after="0" w:line="480" w:lineRule="auto"/>
        <w:jc w:val="both"/>
        <w:rPr>
          <w:rFonts w:ascii="Times New Roman" w:eastAsia="Times New Roman" w:hAnsi="Times New Roman"/>
          <w:sz w:val="20"/>
          <w:szCs w:val="20"/>
        </w:rPr>
      </w:pPr>
      <w:r w:rsidRPr="00905824">
        <w:rPr>
          <w:rFonts w:ascii="Times New Roman" w:eastAsia="Times New Roman" w:hAnsi="Times New Roman"/>
          <w:sz w:val="20"/>
          <w:szCs w:val="20"/>
        </w:rPr>
        <w:t xml:space="preserve">Pursuant to the provisions of the Americans with Disabilities Act, any person requiring special accommodations to participate in this </w:t>
      </w:r>
      <w:r>
        <w:rPr>
          <w:rFonts w:ascii="Times New Roman" w:eastAsia="Times New Roman" w:hAnsi="Times New Roman"/>
          <w:sz w:val="20"/>
          <w:szCs w:val="20"/>
        </w:rPr>
        <w:t>workshop</w:t>
      </w:r>
      <w:r w:rsidRPr="00905824">
        <w:rPr>
          <w:rFonts w:ascii="Times New Roman" w:eastAsia="Times New Roman" w:hAnsi="Times New Roman"/>
          <w:sz w:val="20"/>
          <w:szCs w:val="20"/>
        </w:rPr>
        <w:t xml:space="preserve"> is asked to advise the agency at least 5 days before the </w:t>
      </w:r>
      <w:r>
        <w:rPr>
          <w:rFonts w:ascii="Times New Roman" w:eastAsia="Times New Roman" w:hAnsi="Times New Roman"/>
          <w:sz w:val="20"/>
          <w:szCs w:val="20"/>
        </w:rPr>
        <w:t>workshop</w:t>
      </w:r>
      <w:r w:rsidRPr="00905824">
        <w:rPr>
          <w:rFonts w:ascii="Times New Roman" w:eastAsia="Times New Roman" w:hAnsi="Times New Roman"/>
          <w:sz w:val="20"/>
          <w:szCs w:val="20"/>
        </w:rPr>
        <w:t xml:space="preserve"> by contacting: </w:t>
      </w:r>
      <w:r w:rsidR="009A5EBB">
        <w:rPr>
          <w:rFonts w:ascii="Times New Roman" w:hAnsi="Times New Roman"/>
          <w:sz w:val="20"/>
          <w:szCs w:val="20"/>
        </w:rPr>
        <w:t xml:space="preserve">Elijah Flowers at, (850) 413-3731, or </w:t>
      </w:r>
      <w:hyperlink r:id="rId11" w:history="1">
        <w:r w:rsidR="009A5EBB" w:rsidRPr="004E08D0">
          <w:rPr>
            <w:rStyle w:val="Hyperlink"/>
            <w:rFonts w:ascii="Times New Roman" w:hAnsi="Times New Roman"/>
            <w:sz w:val="20"/>
            <w:szCs w:val="20"/>
          </w:rPr>
          <w:t>Elijah.Flowers@myfloridacfo.com</w:t>
        </w:r>
      </w:hyperlink>
      <w:r w:rsidR="009A5EBB">
        <w:rPr>
          <w:rFonts w:ascii="Times New Roman" w:hAnsi="Times New Roman"/>
          <w:sz w:val="20"/>
          <w:szCs w:val="20"/>
        </w:rPr>
        <w:t>.</w:t>
      </w:r>
      <w:r w:rsidRPr="00905824">
        <w:rPr>
          <w:rFonts w:ascii="Times New Roman" w:eastAsia="Times New Roman" w:hAnsi="Times New Roman"/>
          <w:sz w:val="20"/>
          <w:szCs w:val="20"/>
        </w:rPr>
        <w:t xml:space="preserve"> If you are hearing or speech impaired, please contact the agency using the Florida Relay Service, 1(800)955-8771 (TDD) or 1(800)955-8770 (Voice).</w:t>
      </w:r>
    </w:p>
    <w:p w14:paraId="373945A5" w14:textId="77777777" w:rsidR="009616F8" w:rsidRDefault="009616F8" w:rsidP="00FC0C46">
      <w:pPr>
        <w:spacing w:after="0" w:line="480" w:lineRule="auto"/>
        <w:jc w:val="both"/>
        <w:rPr>
          <w:rFonts w:ascii="Times New Roman" w:eastAsia="Times New Roman" w:hAnsi="Times New Roman"/>
          <w:sz w:val="20"/>
          <w:szCs w:val="20"/>
        </w:rPr>
      </w:pPr>
    </w:p>
    <w:sectPr w:rsidR="00961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530E"/>
    <w:multiLevelType w:val="hybridMultilevel"/>
    <w:tmpl w:val="E86C1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C12CB4"/>
    <w:multiLevelType w:val="hybridMultilevel"/>
    <w:tmpl w:val="7864F426"/>
    <w:lvl w:ilvl="0" w:tplc="14CC268E">
      <w:start w:val="1"/>
      <w:numFmt w:val="decimal"/>
      <w:lvlText w:val="(%1)"/>
      <w:lvlJc w:val="left"/>
      <w:pPr>
        <w:ind w:left="720" w:hanging="360"/>
      </w:pPr>
      <w:rPr>
        <w:rFonts w:hint="default"/>
        <w:i w:val="0"/>
        <w:iCs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35084"/>
    <w:multiLevelType w:val="hybridMultilevel"/>
    <w:tmpl w:val="5A501260"/>
    <w:lvl w:ilvl="0" w:tplc="91F6ED92">
      <w:start w:val="7"/>
      <w:numFmt w:val="decimal"/>
      <w:suff w:val="noth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D15E2"/>
    <w:multiLevelType w:val="hybridMultilevel"/>
    <w:tmpl w:val="C56654DE"/>
    <w:lvl w:ilvl="0" w:tplc="3D1856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B54D4B"/>
    <w:multiLevelType w:val="hybridMultilevel"/>
    <w:tmpl w:val="695C7EDA"/>
    <w:lvl w:ilvl="0" w:tplc="781A1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2660E"/>
    <w:multiLevelType w:val="hybridMultilevel"/>
    <w:tmpl w:val="9CA4AA5A"/>
    <w:lvl w:ilvl="0" w:tplc="212CDC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5FCC69"/>
    <w:multiLevelType w:val="hybridMultilevel"/>
    <w:tmpl w:val="FA342760"/>
    <w:lvl w:ilvl="0" w:tplc="F7B6BB76">
      <w:start w:val="1"/>
      <w:numFmt w:val="lowerLetter"/>
      <w:lvlText w:val="(%1)"/>
      <w:lvlJc w:val="left"/>
      <w:pPr>
        <w:ind w:left="720" w:hanging="360"/>
      </w:pPr>
    </w:lvl>
    <w:lvl w:ilvl="1" w:tplc="3B4E67E4">
      <w:start w:val="1"/>
      <w:numFmt w:val="lowerLetter"/>
      <w:lvlText w:val="%2."/>
      <w:lvlJc w:val="left"/>
      <w:pPr>
        <w:ind w:left="1440" w:hanging="360"/>
      </w:pPr>
    </w:lvl>
    <w:lvl w:ilvl="2" w:tplc="EF08BA5E">
      <w:start w:val="1"/>
      <w:numFmt w:val="lowerRoman"/>
      <w:lvlText w:val="%3."/>
      <w:lvlJc w:val="right"/>
      <w:pPr>
        <w:ind w:left="2160" w:hanging="180"/>
      </w:pPr>
    </w:lvl>
    <w:lvl w:ilvl="3" w:tplc="5AC828BA">
      <w:start w:val="1"/>
      <w:numFmt w:val="decimal"/>
      <w:lvlText w:val="%4."/>
      <w:lvlJc w:val="left"/>
      <w:pPr>
        <w:ind w:left="2880" w:hanging="360"/>
      </w:pPr>
    </w:lvl>
    <w:lvl w:ilvl="4" w:tplc="F43C6B52">
      <w:start w:val="1"/>
      <w:numFmt w:val="lowerLetter"/>
      <w:lvlText w:val="%5."/>
      <w:lvlJc w:val="left"/>
      <w:pPr>
        <w:ind w:left="3600" w:hanging="360"/>
      </w:pPr>
    </w:lvl>
    <w:lvl w:ilvl="5" w:tplc="86A86294">
      <w:start w:val="1"/>
      <w:numFmt w:val="lowerRoman"/>
      <w:lvlText w:val="%6."/>
      <w:lvlJc w:val="right"/>
      <w:pPr>
        <w:ind w:left="4320" w:hanging="180"/>
      </w:pPr>
    </w:lvl>
    <w:lvl w:ilvl="6" w:tplc="2180A954">
      <w:start w:val="1"/>
      <w:numFmt w:val="decimal"/>
      <w:lvlText w:val="%7."/>
      <w:lvlJc w:val="left"/>
      <w:pPr>
        <w:ind w:left="5040" w:hanging="360"/>
      </w:pPr>
    </w:lvl>
    <w:lvl w:ilvl="7" w:tplc="A38239DC">
      <w:start w:val="1"/>
      <w:numFmt w:val="lowerLetter"/>
      <w:lvlText w:val="%8."/>
      <w:lvlJc w:val="left"/>
      <w:pPr>
        <w:ind w:left="5760" w:hanging="360"/>
      </w:pPr>
    </w:lvl>
    <w:lvl w:ilvl="8" w:tplc="1A2EDA48">
      <w:start w:val="1"/>
      <w:numFmt w:val="lowerRoman"/>
      <w:lvlText w:val="%9."/>
      <w:lvlJc w:val="right"/>
      <w:pPr>
        <w:ind w:left="6480" w:hanging="180"/>
      </w:pPr>
    </w:lvl>
  </w:abstractNum>
  <w:num w:numId="1" w16cid:durableId="1360817151">
    <w:abstractNumId w:val="0"/>
  </w:num>
  <w:num w:numId="2" w16cid:durableId="614865591">
    <w:abstractNumId w:val="6"/>
  </w:num>
  <w:num w:numId="3" w16cid:durableId="973683080">
    <w:abstractNumId w:val="1"/>
  </w:num>
  <w:num w:numId="4" w16cid:durableId="716704475">
    <w:abstractNumId w:val="4"/>
  </w:num>
  <w:num w:numId="5" w16cid:durableId="2060201397">
    <w:abstractNumId w:val="5"/>
  </w:num>
  <w:num w:numId="6" w16cid:durableId="1819109378">
    <w:abstractNumId w:val="3"/>
  </w:num>
  <w:num w:numId="7" w16cid:durableId="1818692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EA8"/>
    <w:rsid w:val="00002BD0"/>
    <w:rsid w:val="0000328B"/>
    <w:rsid w:val="00014EF9"/>
    <w:rsid w:val="00017625"/>
    <w:rsid w:val="00030076"/>
    <w:rsid w:val="00063A00"/>
    <w:rsid w:val="000643A7"/>
    <w:rsid w:val="0006653A"/>
    <w:rsid w:val="0007507D"/>
    <w:rsid w:val="000A34C5"/>
    <w:rsid w:val="000B3348"/>
    <w:rsid w:val="000B69D0"/>
    <w:rsid w:val="000C1AAB"/>
    <w:rsid w:val="000C444D"/>
    <w:rsid w:val="000C7627"/>
    <w:rsid w:val="000D44A4"/>
    <w:rsid w:val="000D4702"/>
    <w:rsid w:val="000D68A9"/>
    <w:rsid w:val="000E62AF"/>
    <w:rsid w:val="000F08FB"/>
    <w:rsid w:val="000F5FB8"/>
    <w:rsid w:val="000F736C"/>
    <w:rsid w:val="000F77A2"/>
    <w:rsid w:val="00104851"/>
    <w:rsid w:val="00121961"/>
    <w:rsid w:val="00127F6D"/>
    <w:rsid w:val="001442F8"/>
    <w:rsid w:val="0015164C"/>
    <w:rsid w:val="00163407"/>
    <w:rsid w:val="00174F15"/>
    <w:rsid w:val="00192821"/>
    <w:rsid w:val="001A03CB"/>
    <w:rsid w:val="001A0900"/>
    <w:rsid w:val="001A4553"/>
    <w:rsid w:val="001A5E0B"/>
    <w:rsid w:val="001C1938"/>
    <w:rsid w:val="001C195B"/>
    <w:rsid w:val="001C2DEC"/>
    <w:rsid w:val="001C7A1E"/>
    <w:rsid w:val="001D237D"/>
    <w:rsid w:val="001D3B2D"/>
    <w:rsid w:val="001D409C"/>
    <w:rsid w:val="001F0293"/>
    <w:rsid w:val="0020018C"/>
    <w:rsid w:val="0020149F"/>
    <w:rsid w:val="002017C4"/>
    <w:rsid w:val="002046BB"/>
    <w:rsid w:val="00206BB3"/>
    <w:rsid w:val="00207BDD"/>
    <w:rsid w:val="002119F2"/>
    <w:rsid w:val="00215AF6"/>
    <w:rsid w:val="00216A9B"/>
    <w:rsid w:val="00216E89"/>
    <w:rsid w:val="00223CC7"/>
    <w:rsid w:val="002246A6"/>
    <w:rsid w:val="002249D1"/>
    <w:rsid w:val="00237E66"/>
    <w:rsid w:val="002472A6"/>
    <w:rsid w:val="002613E7"/>
    <w:rsid w:val="0026160C"/>
    <w:rsid w:val="00261F30"/>
    <w:rsid w:val="0028659F"/>
    <w:rsid w:val="00287F38"/>
    <w:rsid w:val="00295436"/>
    <w:rsid w:val="002A55EA"/>
    <w:rsid w:val="002C51DC"/>
    <w:rsid w:val="002D23A6"/>
    <w:rsid w:val="002D3B2D"/>
    <w:rsid w:val="002D4D4F"/>
    <w:rsid w:val="002E0F6B"/>
    <w:rsid w:val="002E18BB"/>
    <w:rsid w:val="002E3A14"/>
    <w:rsid w:val="002E619B"/>
    <w:rsid w:val="003128A4"/>
    <w:rsid w:val="003137D1"/>
    <w:rsid w:val="00331256"/>
    <w:rsid w:val="003479DC"/>
    <w:rsid w:val="00350012"/>
    <w:rsid w:val="00353837"/>
    <w:rsid w:val="00371205"/>
    <w:rsid w:val="0038185E"/>
    <w:rsid w:val="00382C82"/>
    <w:rsid w:val="00394A3E"/>
    <w:rsid w:val="00396889"/>
    <w:rsid w:val="00396D1D"/>
    <w:rsid w:val="003A2B41"/>
    <w:rsid w:val="003A4BBE"/>
    <w:rsid w:val="003D14BF"/>
    <w:rsid w:val="003D1799"/>
    <w:rsid w:val="003D477D"/>
    <w:rsid w:val="003E0DC0"/>
    <w:rsid w:val="003E1BBE"/>
    <w:rsid w:val="003E6591"/>
    <w:rsid w:val="003E7FD4"/>
    <w:rsid w:val="003F7218"/>
    <w:rsid w:val="003F733F"/>
    <w:rsid w:val="00400C72"/>
    <w:rsid w:val="00404EA9"/>
    <w:rsid w:val="00410A7A"/>
    <w:rsid w:val="004126B2"/>
    <w:rsid w:val="00413973"/>
    <w:rsid w:val="004145BE"/>
    <w:rsid w:val="00422544"/>
    <w:rsid w:val="00422B48"/>
    <w:rsid w:val="00424E65"/>
    <w:rsid w:val="00442CBA"/>
    <w:rsid w:val="00443D6C"/>
    <w:rsid w:val="004470F7"/>
    <w:rsid w:val="00456DD6"/>
    <w:rsid w:val="0046211C"/>
    <w:rsid w:val="00463E5A"/>
    <w:rsid w:val="00466297"/>
    <w:rsid w:val="004754D3"/>
    <w:rsid w:val="00483B70"/>
    <w:rsid w:val="00490DFE"/>
    <w:rsid w:val="00495187"/>
    <w:rsid w:val="004C3119"/>
    <w:rsid w:val="004C5391"/>
    <w:rsid w:val="004D2E1F"/>
    <w:rsid w:val="004D4278"/>
    <w:rsid w:val="004D5BD5"/>
    <w:rsid w:val="004D68E6"/>
    <w:rsid w:val="004D720D"/>
    <w:rsid w:val="004E3EA0"/>
    <w:rsid w:val="004F45AB"/>
    <w:rsid w:val="00505A0F"/>
    <w:rsid w:val="005118B8"/>
    <w:rsid w:val="00511F5B"/>
    <w:rsid w:val="005208D7"/>
    <w:rsid w:val="005527C8"/>
    <w:rsid w:val="005551BB"/>
    <w:rsid w:val="00562493"/>
    <w:rsid w:val="00562ECA"/>
    <w:rsid w:val="00563633"/>
    <w:rsid w:val="00563AFC"/>
    <w:rsid w:val="0056690D"/>
    <w:rsid w:val="00567519"/>
    <w:rsid w:val="0056792F"/>
    <w:rsid w:val="005725E5"/>
    <w:rsid w:val="005D4182"/>
    <w:rsid w:val="005E49F9"/>
    <w:rsid w:val="005E5816"/>
    <w:rsid w:val="005F6074"/>
    <w:rsid w:val="005F6869"/>
    <w:rsid w:val="005F7B07"/>
    <w:rsid w:val="00607139"/>
    <w:rsid w:val="00612476"/>
    <w:rsid w:val="006221FB"/>
    <w:rsid w:val="0062395B"/>
    <w:rsid w:val="00634ADA"/>
    <w:rsid w:val="00634E4A"/>
    <w:rsid w:val="006435C1"/>
    <w:rsid w:val="00646E40"/>
    <w:rsid w:val="006536F9"/>
    <w:rsid w:val="0065481D"/>
    <w:rsid w:val="00654B81"/>
    <w:rsid w:val="00657116"/>
    <w:rsid w:val="00660651"/>
    <w:rsid w:val="0066267F"/>
    <w:rsid w:val="00664214"/>
    <w:rsid w:val="00674F75"/>
    <w:rsid w:val="00676B3D"/>
    <w:rsid w:val="0068675F"/>
    <w:rsid w:val="006917B1"/>
    <w:rsid w:val="006923CF"/>
    <w:rsid w:val="00694C3D"/>
    <w:rsid w:val="00695B8D"/>
    <w:rsid w:val="006B2AAD"/>
    <w:rsid w:val="006B5688"/>
    <w:rsid w:val="006C2E76"/>
    <w:rsid w:val="006C4020"/>
    <w:rsid w:val="006C4A87"/>
    <w:rsid w:val="006C64EA"/>
    <w:rsid w:val="006D036B"/>
    <w:rsid w:val="006D491C"/>
    <w:rsid w:val="006E17A3"/>
    <w:rsid w:val="006E435C"/>
    <w:rsid w:val="007002D1"/>
    <w:rsid w:val="00713939"/>
    <w:rsid w:val="0072285D"/>
    <w:rsid w:val="0072607C"/>
    <w:rsid w:val="0073106A"/>
    <w:rsid w:val="00734B4C"/>
    <w:rsid w:val="007355BC"/>
    <w:rsid w:val="00740763"/>
    <w:rsid w:val="007407AC"/>
    <w:rsid w:val="00745626"/>
    <w:rsid w:val="00746324"/>
    <w:rsid w:val="007666A7"/>
    <w:rsid w:val="00781F12"/>
    <w:rsid w:val="00794508"/>
    <w:rsid w:val="00794652"/>
    <w:rsid w:val="00796548"/>
    <w:rsid w:val="007A1F43"/>
    <w:rsid w:val="007A30B3"/>
    <w:rsid w:val="007A5897"/>
    <w:rsid w:val="007B09DA"/>
    <w:rsid w:val="007B3B86"/>
    <w:rsid w:val="007B40C1"/>
    <w:rsid w:val="007B6682"/>
    <w:rsid w:val="007B6DC3"/>
    <w:rsid w:val="007C02A7"/>
    <w:rsid w:val="007D0691"/>
    <w:rsid w:val="007D4C04"/>
    <w:rsid w:val="007E31EE"/>
    <w:rsid w:val="007E59FF"/>
    <w:rsid w:val="007E7A05"/>
    <w:rsid w:val="00810E6B"/>
    <w:rsid w:val="00811665"/>
    <w:rsid w:val="0081433B"/>
    <w:rsid w:val="00822CEE"/>
    <w:rsid w:val="00822EBF"/>
    <w:rsid w:val="0082699B"/>
    <w:rsid w:val="008277C7"/>
    <w:rsid w:val="00842621"/>
    <w:rsid w:val="00845EA0"/>
    <w:rsid w:val="00854346"/>
    <w:rsid w:val="00860461"/>
    <w:rsid w:val="00884C19"/>
    <w:rsid w:val="00886AE7"/>
    <w:rsid w:val="00890AA8"/>
    <w:rsid w:val="00890BE5"/>
    <w:rsid w:val="00895625"/>
    <w:rsid w:val="008A0BAD"/>
    <w:rsid w:val="008A12CC"/>
    <w:rsid w:val="008A1AC4"/>
    <w:rsid w:val="008B5C4C"/>
    <w:rsid w:val="008B6338"/>
    <w:rsid w:val="008C36CD"/>
    <w:rsid w:val="008C3CF5"/>
    <w:rsid w:val="008D0C6D"/>
    <w:rsid w:val="008D1DF2"/>
    <w:rsid w:val="008F48D2"/>
    <w:rsid w:val="008F5BFE"/>
    <w:rsid w:val="008F697A"/>
    <w:rsid w:val="0090423F"/>
    <w:rsid w:val="00905824"/>
    <w:rsid w:val="00910016"/>
    <w:rsid w:val="009161BE"/>
    <w:rsid w:val="00924A03"/>
    <w:rsid w:val="00924B8A"/>
    <w:rsid w:val="00926AEC"/>
    <w:rsid w:val="009332AA"/>
    <w:rsid w:val="00941413"/>
    <w:rsid w:val="009427B0"/>
    <w:rsid w:val="0094281F"/>
    <w:rsid w:val="00947C63"/>
    <w:rsid w:val="00952EA8"/>
    <w:rsid w:val="009552C1"/>
    <w:rsid w:val="009616F8"/>
    <w:rsid w:val="0097195B"/>
    <w:rsid w:val="00971DF3"/>
    <w:rsid w:val="00983E3F"/>
    <w:rsid w:val="009A4CD1"/>
    <w:rsid w:val="009A4EBB"/>
    <w:rsid w:val="009A5EBB"/>
    <w:rsid w:val="009B2911"/>
    <w:rsid w:val="009C01FA"/>
    <w:rsid w:val="009C25AA"/>
    <w:rsid w:val="009D29D0"/>
    <w:rsid w:val="009E2789"/>
    <w:rsid w:val="009F71F7"/>
    <w:rsid w:val="00A04BD0"/>
    <w:rsid w:val="00A05878"/>
    <w:rsid w:val="00A079F3"/>
    <w:rsid w:val="00A102BA"/>
    <w:rsid w:val="00A41B66"/>
    <w:rsid w:val="00A42811"/>
    <w:rsid w:val="00A4392E"/>
    <w:rsid w:val="00A473D7"/>
    <w:rsid w:val="00A47B88"/>
    <w:rsid w:val="00A52C36"/>
    <w:rsid w:val="00A5311C"/>
    <w:rsid w:val="00A5333D"/>
    <w:rsid w:val="00A55A61"/>
    <w:rsid w:val="00A73437"/>
    <w:rsid w:val="00A73D90"/>
    <w:rsid w:val="00A75C6A"/>
    <w:rsid w:val="00A804EB"/>
    <w:rsid w:val="00A83E14"/>
    <w:rsid w:val="00A8587C"/>
    <w:rsid w:val="00A9540A"/>
    <w:rsid w:val="00A96715"/>
    <w:rsid w:val="00AA2AFE"/>
    <w:rsid w:val="00AB511E"/>
    <w:rsid w:val="00AC0CA2"/>
    <w:rsid w:val="00AC1F1F"/>
    <w:rsid w:val="00AC2C54"/>
    <w:rsid w:val="00AC5A17"/>
    <w:rsid w:val="00AD2278"/>
    <w:rsid w:val="00AD5F74"/>
    <w:rsid w:val="00AE4869"/>
    <w:rsid w:val="00AE5317"/>
    <w:rsid w:val="00AF7A8B"/>
    <w:rsid w:val="00B23E6E"/>
    <w:rsid w:val="00B343D0"/>
    <w:rsid w:val="00B36110"/>
    <w:rsid w:val="00B53F91"/>
    <w:rsid w:val="00B5733D"/>
    <w:rsid w:val="00B72AF2"/>
    <w:rsid w:val="00B73263"/>
    <w:rsid w:val="00B8098E"/>
    <w:rsid w:val="00B81381"/>
    <w:rsid w:val="00B84024"/>
    <w:rsid w:val="00B93D2D"/>
    <w:rsid w:val="00B95341"/>
    <w:rsid w:val="00B97D1F"/>
    <w:rsid w:val="00BA4584"/>
    <w:rsid w:val="00BA68EE"/>
    <w:rsid w:val="00BA6BD9"/>
    <w:rsid w:val="00BB0598"/>
    <w:rsid w:val="00BB3B0C"/>
    <w:rsid w:val="00BB5356"/>
    <w:rsid w:val="00BB7E92"/>
    <w:rsid w:val="00BC0FB9"/>
    <w:rsid w:val="00BC7087"/>
    <w:rsid w:val="00BD7DA0"/>
    <w:rsid w:val="00BE0613"/>
    <w:rsid w:val="00BE77E1"/>
    <w:rsid w:val="00BF20A4"/>
    <w:rsid w:val="00C010AD"/>
    <w:rsid w:val="00C06177"/>
    <w:rsid w:val="00C14C10"/>
    <w:rsid w:val="00C27199"/>
    <w:rsid w:val="00C538EB"/>
    <w:rsid w:val="00C540B9"/>
    <w:rsid w:val="00C55155"/>
    <w:rsid w:val="00C56C03"/>
    <w:rsid w:val="00C5737F"/>
    <w:rsid w:val="00C6194B"/>
    <w:rsid w:val="00C66448"/>
    <w:rsid w:val="00C700E7"/>
    <w:rsid w:val="00C71484"/>
    <w:rsid w:val="00C7696B"/>
    <w:rsid w:val="00C76A1A"/>
    <w:rsid w:val="00C76C3F"/>
    <w:rsid w:val="00C84CB4"/>
    <w:rsid w:val="00C91C26"/>
    <w:rsid w:val="00C93DED"/>
    <w:rsid w:val="00C96469"/>
    <w:rsid w:val="00CA1E93"/>
    <w:rsid w:val="00CA40B5"/>
    <w:rsid w:val="00CB06CD"/>
    <w:rsid w:val="00CB44B6"/>
    <w:rsid w:val="00CC2D33"/>
    <w:rsid w:val="00CC3B11"/>
    <w:rsid w:val="00CC5FA6"/>
    <w:rsid w:val="00CD0397"/>
    <w:rsid w:val="00CD21ED"/>
    <w:rsid w:val="00CD342C"/>
    <w:rsid w:val="00CD41A1"/>
    <w:rsid w:val="00CD5799"/>
    <w:rsid w:val="00CE4C1D"/>
    <w:rsid w:val="00CE4E4E"/>
    <w:rsid w:val="00CE5258"/>
    <w:rsid w:val="00CF685C"/>
    <w:rsid w:val="00D03D84"/>
    <w:rsid w:val="00D05785"/>
    <w:rsid w:val="00D11A78"/>
    <w:rsid w:val="00D17001"/>
    <w:rsid w:val="00D2224E"/>
    <w:rsid w:val="00D30B97"/>
    <w:rsid w:val="00D3277A"/>
    <w:rsid w:val="00D42B22"/>
    <w:rsid w:val="00D513A5"/>
    <w:rsid w:val="00D51EB2"/>
    <w:rsid w:val="00D60197"/>
    <w:rsid w:val="00D61C70"/>
    <w:rsid w:val="00D70C03"/>
    <w:rsid w:val="00D712CC"/>
    <w:rsid w:val="00D8737C"/>
    <w:rsid w:val="00D92E93"/>
    <w:rsid w:val="00D97892"/>
    <w:rsid w:val="00DA07C5"/>
    <w:rsid w:val="00DA3681"/>
    <w:rsid w:val="00DA49E3"/>
    <w:rsid w:val="00DB5183"/>
    <w:rsid w:val="00DB6C53"/>
    <w:rsid w:val="00DC656B"/>
    <w:rsid w:val="00DC70A0"/>
    <w:rsid w:val="00DD148A"/>
    <w:rsid w:val="00DD28DD"/>
    <w:rsid w:val="00DE726D"/>
    <w:rsid w:val="00DF15CC"/>
    <w:rsid w:val="00DF2E2D"/>
    <w:rsid w:val="00E052B2"/>
    <w:rsid w:val="00E10BB9"/>
    <w:rsid w:val="00E16B14"/>
    <w:rsid w:val="00E21335"/>
    <w:rsid w:val="00E2168D"/>
    <w:rsid w:val="00E26542"/>
    <w:rsid w:val="00E32B62"/>
    <w:rsid w:val="00E35754"/>
    <w:rsid w:val="00E360CB"/>
    <w:rsid w:val="00E364AB"/>
    <w:rsid w:val="00E45CF4"/>
    <w:rsid w:val="00E50A58"/>
    <w:rsid w:val="00E55FFF"/>
    <w:rsid w:val="00E620AE"/>
    <w:rsid w:val="00E710FC"/>
    <w:rsid w:val="00E75BCD"/>
    <w:rsid w:val="00E82EEE"/>
    <w:rsid w:val="00E85653"/>
    <w:rsid w:val="00E8616C"/>
    <w:rsid w:val="00E904E5"/>
    <w:rsid w:val="00EA05DA"/>
    <w:rsid w:val="00EA3F65"/>
    <w:rsid w:val="00EA4499"/>
    <w:rsid w:val="00EA579A"/>
    <w:rsid w:val="00EA619E"/>
    <w:rsid w:val="00EC43ED"/>
    <w:rsid w:val="00ED010B"/>
    <w:rsid w:val="00ED06C0"/>
    <w:rsid w:val="00ED4008"/>
    <w:rsid w:val="00ED5FE2"/>
    <w:rsid w:val="00ED6B34"/>
    <w:rsid w:val="00ED71BA"/>
    <w:rsid w:val="00ED72E0"/>
    <w:rsid w:val="00EE3172"/>
    <w:rsid w:val="00EE5202"/>
    <w:rsid w:val="00EE69FC"/>
    <w:rsid w:val="00EE773E"/>
    <w:rsid w:val="00EF45F6"/>
    <w:rsid w:val="00EF60FD"/>
    <w:rsid w:val="00F022B4"/>
    <w:rsid w:val="00F1098D"/>
    <w:rsid w:val="00F109EB"/>
    <w:rsid w:val="00F13B68"/>
    <w:rsid w:val="00F14EAD"/>
    <w:rsid w:val="00F15AEA"/>
    <w:rsid w:val="00F22E08"/>
    <w:rsid w:val="00F3076E"/>
    <w:rsid w:val="00F41E6B"/>
    <w:rsid w:val="00F537CA"/>
    <w:rsid w:val="00F677BD"/>
    <w:rsid w:val="00F858E0"/>
    <w:rsid w:val="00F96390"/>
    <w:rsid w:val="00FA0134"/>
    <w:rsid w:val="00FA7E73"/>
    <w:rsid w:val="00FC0C46"/>
    <w:rsid w:val="00FC40A4"/>
    <w:rsid w:val="00FD44FA"/>
    <w:rsid w:val="00FE1607"/>
    <w:rsid w:val="00FE1A4D"/>
    <w:rsid w:val="00FE79CB"/>
    <w:rsid w:val="00FF1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F22F"/>
  <w15:chartTrackingRefBased/>
  <w15:docId w15:val="{875F4FD9-359C-491B-BDB7-074087D7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2EA8"/>
    <w:rPr>
      <w:color w:val="0000FF"/>
      <w:u w:val="single"/>
    </w:rPr>
  </w:style>
  <w:style w:type="character" w:styleId="CommentReference">
    <w:name w:val="annotation reference"/>
    <w:uiPriority w:val="99"/>
    <w:semiHidden/>
    <w:unhideWhenUsed/>
    <w:rsid w:val="00740763"/>
    <w:rPr>
      <w:sz w:val="16"/>
      <w:szCs w:val="16"/>
    </w:rPr>
  </w:style>
  <w:style w:type="paragraph" w:styleId="CommentText">
    <w:name w:val="annotation text"/>
    <w:basedOn w:val="Normal"/>
    <w:link w:val="CommentTextChar"/>
    <w:uiPriority w:val="99"/>
    <w:unhideWhenUsed/>
    <w:rsid w:val="00740763"/>
    <w:rPr>
      <w:sz w:val="20"/>
      <w:szCs w:val="20"/>
    </w:rPr>
  </w:style>
  <w:style w:type="character" w:customStyle="1" w:styleId="CommentTextChar">
    <w:name w:val="Comment Text Char"/>
    <w:basedOn w:val="DefaultParagraphFont"/>
    <w:link w:val="CommentText"/>
    <w:uiPriority w:val="99"/>
    <w:rsid w:val="00740763"/>
  </w:style>
  <w:style w:type="paragraph" w:styleId="CommentSubject">
    <w:name w:val="annotation subject"/>
    <w:basedOn w:val="CommentText"/>
    <w:next w:val="CommentText"/>
    <w:link w:val="CommentSubjectChar"/>
    <w:uiPriority w:val="99"/>
    <w:semiHidden/>
    <w:unhideWhenUsed/>
    <w:rsid w:val="00740763"/>
    <w:rPr>
      <w:b/>
      <w:bCs/>
    </w:rPr>
  </w:style>
  <w:style w:type="character" w:customStyle="1" w:styleId="CommentSubjectChar">
    <w:name w:val="Comment Subject Char"/>
    <w:link w:val="CommentSubject"/>
    <w:uiPriority w:val="99"/>
    <w:semiHidden/>
    <w:rsid w:val="00740763"/>
    <w:rPr>
      <w:b/>
      <w:bCs/>
    </w:rPr>
  </w:style>
  <w:style w:type="paragraph" w:styleId="BalloonText">
    <w:name w:val="Balloon Text"/>
    <w:basedOn w:val="Normal"/>
    <w:link w:val="BalloonTextChar"/>
    <w:uiPriority w:val="99"/>
    <w:semiHidden/>
    <w:unhideWhenUsed/>
    <w:rsid w:val="0074076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0763"/>
    <w:rPr>
      <w:rFonts w:ascii="Segoe UI" w:hAnsi="Segoe UI" w:cs="Segoe UI"/>
      <w:sz w:val="18"/>
      <w:szCs w:val="18"/>
    </w:rPr>
  </w:style>
  <w:style w:type="paragraph" w:styleId="ListParagraph">
    <w:name w:val="List Paragraph"/>
    <w:basedOn w:val="Normal"/>
    <w:uiPriority w:val="34"/>
    <w:qFormat/>
    <w:rsid w:val="008C3CF5"/>
    <w:pPr>
      <w:spacing w:after="0" w:line="240" w:lineRule="auto"/>
      <w:ind w:left="720"/>
    </w:pPr>
    <w:rPr>
      <w:rFonts w:cs="Calibri"/>
    </w:rPr>
  </w:style>
  <w:style w:type="paragraph" w:styleId="NormalWeb">
    <w:name w:val="Normal (Web)"/>
    <w:basedOn w:val="Normal"/>
    <w:uiPriority w:val="99"/>
    <w:semiHidden/>
    <w:unhideWhenUsed/>
    <w:rsid w:val="00FC0C46"/>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uiPriority w:val="99"/>
    <w:semiHidden/>
    <w:unhideWhenUsed/>
    <w:rsid w:val="009A5EBB"/>
    <w:rPr>
      <w:color w:val="605E5C"/>
      <w:shd w:val="clear" w:color="auto" w:fill="E1DFDD"/>
    </w:rPr>
  </w:style>
  <w:style w:type="character" w:customStyle="1" w:styleId="normaltextrun">
    <w:name w:val="normaltextrun"/>
    <w:basedOn w:val="DefaultParagraphFont"/>
    <w:rsid w:val="009A5EBB"/>
  </w:style>
  <w:style w:type="character" w:customStyle="1" w:styleId="eop">
    <w:name w:val="eop"/>
    <w:basedOn w:val="DefaultParagraphFont"/>
    <w:rsid w:val="009A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91599">
      <w:bodyDiv w:val="1"/>
      <w:marLeft w:val="0"/>
      <w:marRight w:val="0"/>
      <w:marTop w:val="0"/>
      <w:marBottom w:val="0"/>
      <w:divBdr>
        <w:top w:val="none" w:sz="0" w:space="0" w:color="auto"/>
        <w:left w:val="none" w:sz="0" w:space="0" w:color="auto"/>
        <w:bottom w:val="none" w:sz="0" w:space="0" w:color="auto"/>
        <w:right w:val="none" w:sz="0" w:space="0" w:color="auto"/>
      </w:divBdr>
    </w:div>
    <w:div w:id="514462115">
      <w:bodyDiv w:val="1"/>
      <w:marLeft w:val="0"/>
      <w:marRight w:val="0"/>
      <w:marTop w:val="0"/>
      <w:marBottom w:val="0"/>
      <w:divBdr>
        <w:top w:val="none" w:sz="0" w:space="0" w:color="auto"/>
        <w:left w:val="none" w:sz="0" w:space="0" w:color="auto"/>
        <w:bottom w:val="none" w:sz="0" w:space="0" w:color="auto"/>
        <w:right w:val="none" w:sz="0" w:space="0" w:color="auto"/>
      </w:divBdr>
    </w:div>
    <w:div w:id="848641894">
      <w:bodyDiv w:val="1"/>
      <w:marLeft w:val="0"/>
      <w:marRight w:val="0"/>
      <w:marTop w:val="0"/>
      <w:marBottom w:val="0"/>
      <w:divBdr>
        <w:top w:val="none" w:sz="0" w:space="0" w:color="auto"/>
        <w:left w:val="none" w:sz="0" w:space="0" w:color="auto"/>
        <w:bottom w:val="none" w:sz="0" w:space="0" w:color="auto"/>
        <w:right w:val="none" w:sz="0" w:space="0" w:color="auto"/>
      </w:divBdr>
    </w:div>
    <w:div w:id="976834576">
      <w:bodyDiv w:val="1"/>
      <w:marLeft w:val="0"/>
      <w:marRight w:val="0"/>
      <w:marTop w:val="0"/>
      <w:marBottom w:val="0"/>
      <w:divBdr>
        <w:top w:val="none" w:sz="0" w:space="0" w:color="auto"/>
        <w:left w:val="none" w:sz="0" w:space="0" w:color="auto"/>
        <w:bottom w:val="none" w:sz="0" w:space="0" w:color="auto"/>
        <w:right w:val="none" w:sz="0" w:space="0" w:color="auto"/>
      </w:divBdr>
    </w:div>
    <w:div w:id="1183859987">
      <w:bodyDiv w:val="1"/>
      <w:marLeft w:val="0"/>
      <w:marRight w:val="0"/>
      <w:marTop w:val="0"/>
      <w:marBottom w:val="0"/>
      <w:divBdr>
        <w:top w:val="none" w:sz="0" w:space="0" w:color="auto"/>
        <w:left w:val="none" w:sz="0" w:space="0" w:color="auto"/>
        <w:bottom w:val="none" w:sz="0" w:space="0" w:color="auto"/>
        <w:right w:val="none" w:sz="0" w:space="0" w:color="auto"/>
      </w:divBdr>
    </w:div>
    <w:div w:id="1215582165">
      <w:bodyDiv w:val="1"/>
      <w:marLeft w:val="0"/>
      <w:marRight w:val="0"/>
      <w:marTop w:val="0"/>
      <w:marBottom w:val="0"/>
      <w:divBdr>
        <w:top w:val="none" w:sz="0" w:space="0" w:color="auto"/>
        <w:left w:val="none" w:sz="0" w:space="0" w:color="auto"/>
        <w:bottom w:val="none" w:sz="0" w:space="0" w:color="auto"/>
        <w:right w:val="none" w:sz="0" w:space="0" w:color="auto"/>
      </w:divBdr>
      <w:divsChild>
        <w:div w:id="113913195">
          <w:marLeft w:val="1440"/>
          <w:marRight w:val="0"/>
          <w:marTop w:val="0"/>
          <w:marBottom w:val="0"/>
          <w:divBdr>
            <w:top w:val="none" w:sz="0" w:space="0" w:color="auto"/>
            <w:left w:val="none" w:sz="0" w:space="0" w:color="auto"/>
            <w:bottom w:val="none" w:sz="0" w:space="0" w:color="auto"/>
            <w:right w:val="none" w:sz="0" w:space="0" w:color="auto"/>
          </w:divBdr>
        </w:div>
        <w:div w:id="117838711">
          <w:marLeft w:val="1440"/>
          <w:marRight w:val="0"/>
          <w:marTop w:val="0"/>
          <w:marBottom w:val="0"/>
          <w:divBdr>
            <w:top w:val="none" w:sz="0" w:space="0" w:color="auto"/>
            <w:left w:val="none" w:sz="0" w:space="0" w:color="auto"/>
            <w:bottom w:val="none" w:sz="0" w:space="0" w:color="auto"/>
            <w:right w:val="none" w:sz="0" w:space="0" w:color="auto"/>
          </w:divBdr>
        </w:div>
        <w:div w:id="1919168746">
          <w:marLeft w:val="1440"/>
          <w:marRight w:val="0"/>
          <w:marTop w:val="0"/>
          <w:marBottom w:val="0"/>
          <w:divBdr>
            <w:top w:val="none" w:sz="0" w:space="0" w:color="auto"/>
            <w:left w:val="none" w:sz="0" w:space="0" w:color="auto"/>
            <w:bottom w:val="none" w:sz="0" w:space="0" w:color="auto"/>
            <w:right w:val="none" w:sz="0" w:space="0" w:color="auto"/>
          </w:divBdr>
        </w:div>
      </w:divsChild>
    </w:div>
    <w:div w:id="1847940274">
      <w:bodyDiv w:val="1"/>
      <w:marLeft w:val="0"/>
      <w:marRight w:val="0"/>
      <w:marTop w:val="0"/>
      <w:marBottom w:val="0"/>
      <w:divBdr>
        <w:top w:val="none" w:sz="0" w:space="0" w:color="auto"/>
        <w:left w:val="none" w:sz="0" w:space="0" w:color="auto"/>
        <w:bottom w:val="none" w:sz="0" w:space="0" w:color="auto"/>
        <w:right w:val="none" w:sz="0" w:space="0" w:color="auto"/>
      </w:divBdr>
      <w:divsChild>
        <w:div w:id="283003702">
          <w:marLeft w:val="1440"/>
          <w:marRight w:val="0"/>
          <w:marTop w:val="0"/>
          <w:marBottom w:val="0"/>
          <w:divBdr>
            <w:top w:val="none" w:sz="0" w:space="0" w:color="auto"/>
            <w:left w:val="none" w:sz="0" w:space="0" w:color="auto"/>
            <w:bottom w:val="none" w:sz="0" w:space="0" w:color="auto"/>
            <w:right w:val="none" w:sz="0" w:space="0" w:color="auto"/>
          </w:divBdr>
        </w:div>
        <w:div w:id="2043626180">
          <w:marLeft w:val="1440"/>
          <w:marRight w:val="0"/>
          <w:marTop w:val="0"/>
          <w:marBottom w:val="0"/>
          <w:divBdr>
            <w:top w:val="none" w:sz="0" w:space="0" w:color="auto"/>
            <w:left w:val="none" w:sz="0" w:space="0" w:color="auto"/>
            <w:bottom w:val="none" w:sz="0" w:space="0" w:color="auto"/>
            <w:right w:val="none" w:sz="0" w:space="0" w:color="auto"/>
          </w:divBdr>
        </w:div>
        <w:div w:id="2066683719">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ruleNo.asp?id=69A-73.001"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jah.Flowers@myfloridacfo.com" TargetMode="External"/><Relationship Id="rId5" Type="http://schemas.openxmlformats.org/officeDocument/2006/relationships/styles" Target="styles.xml"/><Relationship Id="rId10" Type="http://schemas.openxmlformats.org/officeDocument/2006/relationships/hyperlink" Target="mailto:Elijah.Flowers@myfloridacfo.com" TargetMode="External"/><Relationship Id="rId4" Type="http://schemas.openxmlformats.org/officeDocument/2006/relationships/numbering" Target="numbering.xml"/><Relationship Id="rId9" Type="http://schemas.openxmlformats.org/officeDocument/2006/relationships/hyperlink" Target="https://global.gotomeeting.com/join/626020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4" ma:contentTypeDescription="Create a new document." ma:contentTypeScope="" ma:versionID="5a78a090fe992ff13e7a9fa488aa7c24">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24edd36d0de4976f6a6ba9b680c9cd0e"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6812D-D4C9-4502-9EF5-02F566B9E89D}">
  <ds:schemaRefs>
    <ds:schemaRef ds:uri="http://schemas.microsoft.com/sharepoint/v3/contenttype/forms"/>
  </ds:schemaRefs>
</ds:datastoreItem>
</file>

<file path=customXml/itemProps2.xml><?xml version="1.0" encoding="utf-8"?>
<ds:datastoreItem xmlns:ds="http://schemas.openxmlformats.org/officeDocument/2006/customXml" ds:itemID="{0F52D6F5-1DC5-4FC3-BB42-59AD20AE6E3C}">
  <ds:schemaRefs>
    <ds:schemaRef ds:uri="http://schemas.microsoft.com/office/2006/metadata/properties"/>
    <ds:schemaRef ds:uri="http://schemas.microsoft.com/office/infopath/2007/PartnerControls"/>
    <ds:schemaRef ds:uri="e009e90f-dec1-4777-aead-00ed6fda7471"/>
    <ds:schemaRef ds:uri="9ec49287-f224-46bc-b9aa-7bc7bc848841"/>
  </ds:schemaRefs>
</ds:datastoreItem>
</file>

<file path=customXml/itemProps3.xml><?xml version="1.0" encoding="utf-8"?>
<ds:datastoreItem xmlns:ds="http://schemas.openxmlformats.org/officeDocument/2006/customXml" ds:itemID="{0A2371FD-3BE6-41FD-81A9-8885478A9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Links>
    <vt:vector size="18" baseType="variant">
      <vt:variant>
        <vt:i4>3473488</vt:i4>
      </vt:variant>
      <vt:variant>
        <vt:i4>6</vt:i4>
      </vt:variant>
      <vt:variant>
        <vt:i4>0</vt:i4>
      </vt:variant>
      <vt:variant>
        <vt:i4>5</vt:i4>
      </vt:variant>
      <vt:variant>
        <vt:lpwstr>mailto:Bruce.Gillingham@myfloridacfo.com</vt:lpwstr>
      </vt:variant>
      <vt:variant>
        <vt:lpwstr/>
      </vt:variant>
      <vt:variant>
        <vt:i4>4653074</vt:i4>
      </vt:variant>
      <vt:variant>
        <vt:i4>3</vt:i4>
      </vt:variant>
      <vt:variant>
        <vt:i4>0</vt:i4>
      </vt:variant>
      <vt:variant>
        <vt:i4>5</vt:i4>
      </vt:variant>
      <vt:variant>
        <vt:lpwstr>https://global.gotomeeting.com/join/626020717</vt:lpwstr>
      </vt:variant>
      <vt:variant>
        <vt:lpwstr/>
      </vt:variant>
      <vt:variant>
        <vt:i4>4718678</vt:i4>
      </vt:variant>
      <vt:variant>
        <vt:i4>0</vt:i4>
      </vt:variant>
      <vt:variant>
        <vt:i4>0</vt:i4>
      </vt:variant>
      <vt:variant>
        <vt:i4>5</vt:i4>
      </vt:variant>
      <vt:variant>
        <vt:lpwstr>https://flrules.org/gateway/ruleNo.asp?id=69A-73.001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Kerce, Whitley L.</dc:creator>
  <cp:keywords/>
  <dc:description/>
  <cp:lastModifiedBy>Crossley, Cathy</cp:lastModifiedBy>
  <cp:revision>11</cp:revision>
  <dcterms:created xsi:type="dcterms:W3CDTF">2024-10-21T12:01:00Z</dcterms:created>
  <dcterms:modified xsi:type="dcterms:W3CDTF">2024-10-23T15:21:00Z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MediaServiceImageTags">
    <vt:lpwstr/>
  </property>
</Properties>
</file>