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48359" w14:textId="77777777" w:rsidR="00B21AFA" w:rsidRDefault="00B21AFA" w:rsidP="00380A24">
      <w:pPr>
        <w:widowControl w:val="0"/>
        <w:spacing w:line="480" w:lineRule="auto"/>
        <w:ind w:firstLine="360"/>
        <w:jc w:val="center"/>
        <w:rPr>
          <w:sz w:val="20"/>
          <w:szCs w:val="20"/>
        </w:rPr>
      </w:pPr>
      <w:bookmarkStart w:id="0" w:name="_Hlk180666044"/>
      <w:r>
        <w:rPr>
          <w:sz w:val="20"/>
          <w:szCs w:val="20"/>
        </w:rPr>
        <w:t>NOTICE OF PROPOSED RULE</w:t>
      </w:r>
    </w:p>
    <w:p w14:paraId="42945CDC" w14:textId="77777777" w:rsidR="00193346" w:rsidRDefault="00193346" w:rsidP="00380A24">
      <w:pPr>
        <w:widowControl w:val="0"/>
        <w:spacing w:line="480" w:lineRule="auto"/>
        <w:jc w:val="both"/>
        <w:rPr>
          <w:sz w:val="20"/>
          <w:szCs w:val="20"/>
        </w:rPr>
      </w:pPr>
    </w:p>
    <w:p w14:paraId="40AFD85F" w14:textId="0E6B39C8" w:rsidR="00B21AFA" w:rsidRDefault="00193346" w:rsidP="00380A24">
      <w:pPr>
        <w:widowControl w:val="0"/>
        <w:spacing w:line="480" w:lineRule="auto"/>
        <w:jc w:val="both"/>
        <w:rPr>
          <w:sz w:val="20"/>
          <w:szCs w:val="20"/>
        </w:rPr>
      </w:pPr>
      <w:r>
        <w:rPr>
          <w:sz w:val="20"/>
          <w:szCs w:val="20"/>
        </w:rPr>
        <w:t>DEPARTMENT OF FINANCIAL SERVICES</w:t>
      </w:r>
    </w:p>
    <w:p w14:paraId="350C7DF1" w14:textId="57F5E9A1" w:rsidR="00B21AFA" w:rsidRDefault="00B21AFA" w:rsidP="00380A24">
      <w:pPr>
        <w:widowControl w:val="0"/>
        <w:spacing w:line="480" w:lineRule="auto"/>
        <w:jc w:val="both"/>
        <w:rPr>
          <w:sz w:val="20"/>
          <w:szCs w:val="20"/>
        </w:rPr>
      </w:pPr>
      <w:r>
        <w:rPr>
          <w:sz w:val="20"/>
          <w:szCs w:val="20"/>
        </w:rPr>
        <w:t xml:space="preserve">Division </w:t>
      </w:r>
      <w:r w:rsidR="00E55EB1">
        <w:rPr>
          <w:sz w:val="20"/>
          <w:szCs w:val="20"/>
        </w:rPr>
        <w:t>of Workers’ Compensation</w:t>
      </w:r>
    </w:p>
    <w:p w14:paraId="3B4860B1" w14:textId="6FCECBAB" w:rsidR="00B21AFA" w:rsidRDefault="00B21AFA" w:rsidP="00380A24">
      <w:pPr>
        <w:widowControl w:val="0"/>
        <w:spacing w:line="480" w:lineRule="auto"/>
        <w:jc w:val="both"/>
        <w:rPr>
          <w:sz w:val="20"/>
          <w:szCs w:val="20"/>
        </w:rPr>
      </w:pPr>
      <w:r>
        <w:rPr>
          <w:sz w:val="20"/>
          <w:szCs w:val="20"/>
        </w:rPr>
        <w:t>RULE NO.:</w:t>
      </w:r>
      <w:r>
        <w:rPr>
          <w:sz w:val="20"/>
          <w:szCs w:val="20"/>
        </w:rPr>
        <w:tab/>
      </w:r>
      <w:r w:rsidR="00DF095A">
        <w:rPr>
          <w:sz w:val="20"/>
          <w:szCs w:val="20"/>
        </w:rPr>
        <w:tab/>
      </w:r>
      <w:r>
        <w:rPr>
          <w:sz w:val="20"/>
          <w:szCs w:val="20"/>
        </w:rPr>
        <w:t>RULE TITLE:</w:t>
      </w:r>
    </w:p>
    <w:p w14:paraId="7C8FC7B2" w14:textId="00ADFBAB" w:rsidR="00193346" w:rsidRDefault="00E55EB1" w:rsidP="00380A24">
      <w:pPr>
        <w:widowControl w:val="0"/>
        <w:spacing w:line="480" w:lineRule="auto"/>
        <w:jc w:val="both"/>
        <w:rPr>
          <w:sz w:val="20"/>
          <w:szCs w:val="20"/>
        </w:rPr>
      </w:pPr>
      <w:r>
        <w:rPr>
          <w:sz w:val="20"/>
          <w:szCs w:val="20"/>
        </w:rPr>
        <w:t>69L-7.020</w:t>
      </w:r>
      <w:r w:rsidR="00193346">
        <w:rPr>
          <w:sz w:val="20"/>
          <w:szCs w:val="20"/>
        </w:rPr>
        <w:tab/>
      </w:r>
      <w:r w:rsidR="00193346">
        <w:rPr>
          <w:sz w:val="20"/>
          <w:szCs w:val="20"/>
        </w:rPr>
        <w:tab/>
      </w:r>
      <w:r w:rsidR="00380A24" w:rsidRPr="0080779F">
        <w:rPr>
          <w:bCs/>
          <w:sz w:val="20"/>
          <w:szCs w:val="20"/>
        </w:rPr>
        <w:t>Florida Workers’ Compensation Health Care Provider Reimbursement Manual</w:t>
      </w:r>
    </w:p>
    <w:p w14:paraId="7DD023F2" w14:textId="21A14215" w:rsidR="00C06EE0" w:rsidRDefault="00C06EE0" w:rsidP="00C06EE0">
      <w:pPr>
        <w:widowControl w:val="0"/>
        <w:spacing w:line="480" w:lineRule="auto"/>
        <w:jc w:val="both"/>
        <w:rPr>
          <w:sz w:val="20"/>
          <w:szCs w:val="20"/>
        </w:rPr>
      </w:pPr>
      <w:r>
        <w:rPr>
          <w:sz w:val="20"/>
          <w:szCs w:val="20"/>
        </w:rPr>
        <w:t xml:space="preserve">PURPOSE AND EFFECT: </w:t>
      </w:r>
      <w:r w:rsidRPr="0080779F">
        <w:rPr>
          <w:sz w:val="20"/>
          <w:szCs w:val="20"/>
        </w:rPr>
        <w:t>The proposed</w:t>
      </w:r>
      <w:r w:rsidR="005246DF">
        <w:rPr>
          <w:sz w:val="20"/>
          <w:szCs w:val="20"/>
        </w:rPr>
        <w:t xml:space="preserve"> rule</w:t>
      </w:r>
      <w:r w:rsidRPr="0080779F">
        <w:rPr>
          <w:sz w:val="20"/>
          <w:szCs w:val="20"/>
        </w:rPr>
        <w:t xml:space="preserve"> amendment will adopt the most recent editions of the following copyrighted materials: (1) Florida Workers’ Compensation Health Care Provider Reimbursement Manual, 2024 </w:t>
      </w:r>
      <w:r w:rsidRPr="000A5464">
        <w:rPr>
          <w:sz w:val="20"/>
          <w:szCs w:val="20"/>
        </w:rPr>
        <w:t xml:space="preserve">Edition; (2) Current Procedural Terminology (CPT®), 2024 Professional Edition; (3) CDT 2024 Current Dental Terminology; (4) in part for D codes and for injectable J codes, and other medical services and supply codes, the Optum 2024 HCPCS Level II, Professional, </w:t>
      </w:r>
      <w:r w:rsidRPr="000A5464">
        <w:rPr>
          <w:noProof/>
          <w:color w:val="000000"/>
          <w:sz w:val="20"/>
          <w:szCs w:val="20"/>
        </w:rPr>
        <w:t>A resourceful compilation of HCPCS codes</w:t>
      </w:r>
      <w:r w:rsidRPr="000A5464">
        <w:rPr>
          <w:sz w:val="20"/>
          <w:szCs w:val="20"/>
        </w:rPr>
        <w:t>; (5) the CPT® Assistant 2024; (6) the Optum 2024 ICD-10-CM, Professional for Physicians: The Complete Official Code Set; and (7) the 2024 Relative Value Guide®, A Guide for Anesthesia Values.</w:t>
      </w:r>
    </w:p>
    <w:p w14:paraId="6887B6F3" w14:textId="34FFEE88" w:rsidR="00B21AFA" w:rsidRDefault="00C06EE0" w:rsidP="00C06EE0">
      <w:pPr>
        <w:widowControl w:val="0"/>
        <w:spacing w:line="480" w:lineRule="auto"/>
        <w:jc w:val="both"/>
        <w:rPr>
          <w:sz w:val="20"/>
          <w:szCs w:val="20"/>
        </w:rPr>
      </w:pPr>
      <w:r w:rsidRPr="00E66ED8">
        <w:rPr>
          <w:sz w:val="20"/>
          <w:szCs w:val="20"/>
        </w:rPr>
        <w:t>SUMMARY:</w:t>
      </w:r>
      <w:r>
        <w:rPr>
          <w:sz w:val="20"/>
          <w:szCs w:val="20"/>
        </w:rPr>
        <w:t xml:space="preserve"> The proposed rule will update the HCP RM and other incorporated materials.</w:t>
      </w:r>
      <w:r w:rsidR="00866ACB">
        <w:rPr>
          <w:sz w:val="20"/>
          <w:szCs w:val="20"/>
        </w:rPr>
        <w:t xml:space="preserve"> </w:t>
      </w:r>
    </w:p>
    <w:p w14:paraId="39827E5D" w14:textId="77777777" w:rsidR="00B21AFA" w:rsidRDefault="00B21AFA" w:rsidP="00380A24">
      <w:pPr>
        <w:widowControl w:val="0"/>
        <w:spacing w:line="480" w:lineRule="auto"/>
        <w:jc w:val="both"/>
        <w:rPr>
          <w:sz w:val="20"/>
          <w:szCs w:val="20"/>
        </w:rPr>
      </w:pPr>
      <w:r>
        <w:rPr>
          <w:sz w:val="20"/>
          <w:szCs w:val="20"/>
        </w:rPr>
        <w:t>SUMMARY OF STATEMENT OF ESTIMATED REGULATORY COSTS AND LEGISLATIVE RATIFICATION:</w:t>
      </w:r>
    </w:p>
    <w:p w14:paraId="5E3699D0" w14:textId="150E07F4" w:rsidR="00B21AFA" w:rsidRDefault="00B21AFA" w:rsidP="00380A24">
      <w:pPr>
        <w:widowControl w:val="0"/>
        <w:spacing w:line="480" w:lineRule="auto"/>
        <w:jc w:val="both"/>
        <w:rPr>
          <w:sz w:val="20"/>
          <w:szCs w:val="20"/>
        </w:rPr>
      </w:pPr>
      <w:r>
        <w:rPr>
          <w:sz w:val="20"/>
          <w:szCs w:val="20"/>
        </w:rPr>
        <w:t xml:space="preserve">The agency has determined that this rule will not have an adverse impact on small business or likely increase directly or indirectly regulatory costs </w:t>
      </w:r>
      <w:proofErr w:type="gramStart"/>
      <w:r>
        <w:rPr>
          <w:sz w:val="20"/>
          <w:szCs w:val="20"/>
        </w:rPr>
        <w:t>in excess of</w:t>
      </w:r>
      <w:proofErr w:type="gramEnd"/>
      <w:r>
        <w:rPr>
          <w:sz w:val="20"/>
          <w:szCs w:val="20"/>
        </w:rPr>
        <w:t xml:space="preserve"> $200,000 in the aggregate within one year after the implementation of the rule. A SERC has not been prepared by the agency.</w:t>
      </w:r>
    </w:p>
    <w:p w14:paraId="6FB7AD35" w14:textId="05DB277F" w:rsidR="00B21AFA" w:rsidRDefault="00B21AFA" w:rsidP="00380A24">
      <w:pPr>
        <w:widowControl w:val="0"/>
        <w:spacing w:line="480" w:lineRule="auto"/>
        <w:jc w:val="both"/>
        <w:rPr>
          <w:sz w:val="20"/>
          <w:szCs w:val="20"/>
        </w:rPr>
      </w:pPr>
      <w:r>
        <w:rPr>
          <w:sz w:val="20"/>
          <w:szCs w:val="20"/>
        </w:rPr>
        <w:t>The Agency has determined that the proposed rule is not expected to require legislative ratification based on the statement of estimated regulatory costs or if no SERC is required, the information expressly relied upon and described herein: The Department’s economic review for this rulemaking.</w:t>
      </w:r>
    </w:p>
    <w:p w14:paraId="747CB2A0" w14:textId="77777777" w:rsidR="00B21AFA" w:rsidRDefault="00B21AFA" w:rsidP="00380A24">
      <w:pPr>
        <w:widowControl w:val="0"/>
        <w:spacing w:line="480" w:lineRule="auto"/>
        <w:jc w:val="both"/>
        <w:rPr>
          <w:sz w:val="20"/>
          <w:szCs w:val="20"/>
        </w:rPr>
      </w:pPr>
      <w:r>
        <w:rPr>
          <w:sz w:val="20"/>
          <w:szCs w:val="20"/>
        </w:rPr>
        <w:t>Any person who wishes to provide information regarding the statement of estimated regulatory costs, or to provide a proposal for a lower cost regulatory alternative must do so in writing within 21 days of this notice.</w:t>
      </w:r>
    </w:p>
    <w:p w14:paraId="6EDDA560" w14:textId="5FA434C2" w:rsidR="00B21AFA" w:rsidRDefault="00B21AFA" w:rsidP="00380A24">
      <w:pPr>
        <w:widowControl w:val="0"/>
        <w:spacing w:line="480" w:lineRule="auto"/>
        <w:jc w:val="both"/>
        <w:rPr>
          <w:sz w:val="20"/>
          <w:szCs w:val="20"/>
        </w:rPr>
      </w:pPr>
      <w:r>
        <w:rPr>
          <w:sz w:val="20"/>
          <w:szCs w:val="20"/>
        </w:rPr>
        <w:t>RULEMAKING AUTHORITY (formerly “Specific Authority”):</w:t>
      </w:r>
      <w:r w:rsidR="006872E7">
        <w:rPr>
          <w:sz w:val="20"/>
          <w:szCs w:val="20"/>
        </w:rPr>
        <w:t xml:space="preserve"> </w:t>
      </w:r>
      <w:r w:rsidR="006872E7" w:rsidRPr="0080779F">
        <w:rPr>
          <w:sz w:val="20"/>
          <w:szCs w:val="20"/>
        </w:rPr>
        <w:t>440.13, 440.591</w:t>
      </w:r>
      <w:r w:rsidR="006872E7">
        <w:rPr>
          <w:sz w:val="20"/>
          <w:szCs w:val="20"/>
        </w:rPr>
        <w:t>,</w:t>
      </w:r>
      <w:r w:rsidR="006872E7" w:rsidRPr="0080779F">
        <w:rPr>
          <w:sz w:val="20"/>
          <w:szCs w:val="20"/>
        </w:rPr>
        <w:t xml:space="preserve"> FS</w:t>
      </w:r>
      <w:r w:rsidR="00D93B01">
        <w:rPr>
          <w:sz w:val="20"/>
          <w:szCs w:val="20"/>
        </w:rPr>
        <w:t>.</w:t>
      </w:r>
    </w:p>
    <w:p w14:paraId="481E3A74" w14:textId="4BADA51D" w:rsidR="00B21AFA" w:rsidRDefault="00B21AFA" w:rsidP="00380A24">
      <w:pPr>
        <w:widowControl w:val="0"/>
        <w:spacing w:line="480" w:lineRule="auto"/>
        <w:jc w:val="both"/>
        <w:rPr>
          <w:sz w:val="20"/>
          <w:szCs w:val="20"/>
        </w:rPr>
      </w:pPr>
      <w:r>
        <w:rPr>
          <w:sz w:val="20"/>
          <w:szCs w:val="20"/>
        </w:rPr>
        <w:t>LAW IMPLEMENTED:</w:t>
      </w:r>
      <w:r w:rsidR="006872E7">
        <w:rPr>
          <w:sz w:val="20"/>
          <w:szCs w:val="20"/>
        </w:rPr>
        <w:t xml:space="preserve"> </w:t>
      </w:r>
      <w:r w:rsidR="00D93B01" w:rsidRPr="0080779F">
        <w:rPr>
          <w:sz w:val="20"/>
          <w:szCs w:val="20"/>
        </w:rPr>
        <w:t>440.13</w:t>
      </w:r>
      <w:r w:rsidR="00D93B01">
        <w:rPr>
          <w:sz w:val="20"/>
          <w:szCs w:val="20"/>
        </w:rPr>
        <w:t>,</w:t>
      </w:r>
      <w:r w:rsidR="00D93B01" w:rsidRPr="0080779F">
        <w:rPr>
          <w:sz w:val="20"/>
          <w:szCs w:val="20"/>
        </w:rPr>
        <w:t xml:space="preserve"> FS</w:t>
      </w:r>
      <w:r w:rsidR="00D93B01">
        <w:rPr>
          <w:sz w:val="20"/>
          <w:szCs w:val="20"/>
        </w:rPr>
        <w:t>.</w:t>
      </w:r>
    </w:p>
    <w:p w14:paraId="49D79708" w14:textId="22E23929" w:rsidR="00B21AFA" w:rsidRDefault="00B21AFA" w:rsidP="00380A24">
      <w:pPr>
        <w:widowControl w:val="0"/>
        <w:tabs>
          <w:tab w:val="left" w:pos="540"/>
        </w:tabs>
        <w:spacing w:line="480" w:lineRule="auto"/>
        <w:jc w:val="both"/>
        <w:rPr>
          <w:sz w:val="20"/>
          <w:szCs w:val="20"/>
        </w:rPr>
      </w:pPr>
      <w:r>
        <w:rPr>
          <w:sz w:val="20"/>
          <w:szCs w:val="20"/>
        </w:rPr>
        <w:t>A HEARING WILL BE HELD AT THE DATE, TIME AND PLACE SHOWN BELOW:</w:t>
      </w:r>
    </w:p>
    <w:p w14:paraId="6EC9F0E2" w14:textId="0044811F" w:rsidR="00B21AFA" w:rsidRDefault="00B21AFA" w:rsidP="00380A24">
      <w:pPr>
        <w:widowControl w:val="0"/>
        <w:tabs>
          <w:tab w:val="left" w:pos="540"/>
        </w:tabs>
        <w:spacing w:line="480" w:lineRule="auto"/>
        <w:jc w:val="both"/>
        <w:rPr>
          <w:sz w:val="20"/>
          <w:szCs w:val="20"/>
        </w:rPr>
      </w:pPr>
      <w:r>
        <w:rPr>
          <w:sz w:val="20"/>
          <w:szCs w:val="20"/>
        </w:rPr>
        <w:t>DATE AND TIME:</w:t>
      </w:r>
      <w:r w:rsidR="005A53F0">
        <w:rPr>
          <w:sz w:val="20"/>
          <w:szCs w:val="20"/>
        </w:rPr>
        <w:t xml:space="preserve"> </w:t>
      </w:r>
      <w:r w:rsidR="007856F1">
        <w:rPr>
          <w:sz w:val="20"/>
          <w:szCs w:val="20"/>
        </w:rPr>
        <w:t>November 1</w:t>
      </w:r>
      <w:r w:rsidR="00C87B0C">
        <w:rPr>
          <w:sz w:val="20"/>
          <w:szCs w:val="20"/>
        </w:rPr>
        <w:t>5</w:t>
      </w:r>
      <w:r w:rsidR="007856F1">
        <w:rPr>
          <w:sz w:val="20"/>
          <w:szCs w:val="20"/>
        </w:rPr>
        <w:t>, 2024, 10:00 am to 11:00 am.</w:t>
      </w:r>
    </w:p>
    <w:p w14:paraId="61C8EC55" w14:textId="77777777" w:rsidR="00502BDF" w:rsidRPr="00502BDF" w:rsidRDefault="00B21AFA" w:rsidP="00502BDF">
      <w:pPr>
        <w:widowControl w:val="0"/>
        <w:tabs>
          <w:tab w:val="left" w:pos="540"/>
        </w:tabs>
        <w:spacing w:line="480" w:lineRule="auto"/>
        <w:jc w:val="both"/>
        <w:rPr>
          <w:sz w:val="20"/>
          <w:szCs w:val="20"/>
        </w:rPr>
      </w:pPr>
      <w:r>
        <w:rPr>
          <w:sz w:val="20"/>
          <w:szCs w:val="20"/>
        </w:rPr>
        <w:t>PLACE:</w:t>
      </w:r>
      <w:r w:rsidR="007856F1">
        <w:rPr>
          <w:sz w:val="20"/>
          <w:szCs w:val="20"/>
        </w:rPr>
        <w:t xml:space="preserve"> </w:t>
      </w:r>
      <w:r w:rsidR="00502BDF" w:rsidRPr="00502BDF">
        <w:rPr>
          <w:sz w:val="20"/>
          <w:szCs w:val="20"/>
        </w:rPr>
        <w:t xml:space="preserve">PLACE: By GoToMeeting: Please join my meeting from your computer, </w:t>
      </w:r>
      <w:proofErr w:type="gramStart"/>
      <w:r w:rsidR="00502BDF" w:rsidRPr="00502BDF">
        <w:rPr>
          <w:sz w:val="20"/>
          <w:szCs w:val="20"/>
        </w:rPr>
        <w:t>tablet</w:t>
      </w:r>
      <w:proofErr w:type="gramEnd"/>
      <w:r w:rsidR="00502BDF" w:rsidRPr="00502BDF">
        <w:rPr>
          <w:sz w:val="20"/>
          <w:szCs w:val="20"/>
        </w:rPr>
        <w:t xml:space="preserve"> or smartphone. </w:t>
      </w:r>
      <w:r w:rsidR="00502BDF" w:rsidRPr="00502BDF">
        <w:rPr>
          <w:sz w:val="20"/>
          <w:szCs w:val="20"/>
        </w:rPr>
        <w:lastRenderedPageBreak/>
        <w:t>https://global.gotomeeting.com/join/626020717</w:t>
      </w:r>
    </w:p>
    <w:p w14:paraId="741F697E" w14:textId="77777777" w:rsidR="00502BDF" w:rsidRPr="00502BDF" w:rsidRDefault="00502BDF" w:rsidP="00502BDF">
      <w:pPr>
        <w:widowControl w:val="0"/>
        <w:tabs>
          <w:tab w:val="left" w:pos="540"/>
        </w:tabs>
        <w:spacing w:line="480" w:lineRule="auto"/>
        <w:jc w:val="both"/>
        <w:rPr>
          <w:sz w:val="20"/>
          <w:szCs w:val="20"/>
        </w:rPr>
      </w:pPr>
      <w:r w:rsidRPr="00502BDF">
        <w:rPr>
          <w:sz w:val="20"/>
          <w:szCs w:val="20"/>
        </w:rPr>
        <w:t>You can also dial in using your phone. United States (Toll Free): 1(866)899-4679, United States: (571)317-3116, Access Code: 626-020-717</w:t>
      </w:r>
    </w:p>
    <w:p w14:paraId="542B0C48" w14:textId="741F0733" w:rsidR="00B21AFA" w:rsidRDefault="00502BDF" w:rsidP="00502BDF">
      <w:pPr>
        <w:widowControl w:val="0"/>
        <w:tabs>
          <w:tab w:val="left" w:pos="540"/>
        </w:tabs>
        <w:spacing w:line="480" w:lineRule="auto"/>
        <w:jc w:val="both"/>
        <w:rPr>
          <w:sz w:val="20"/>
          <w:szCs w:val="20"/>
        </w:rPr>
      </w:pPr>
      <w:r w:rsidRPr="00502BDF">
        <w:rPr>
          <w:sz w:val="20"/>
          <w:szCs w:val="20"/>
        </w:rPr>
        <w:t xml:space="preserve">Join from a video-conferencing room or system. Dial in or type: 67.217.95.2 or inroomlink.goto.com, Meeting ID: 626 020 717 or dial directly: 626020717@67.217.95.2 or 67.217.95.2##626020717.    </w:t>
      </w:r>
    </w:p>
    <w:p w14:paraId="04020C61" w14:textId="4A7F9D73" w:rsidR="00B21AFA" w:rsidRDefault="00B21AFA" w:rsidP="00380A24">
      <w:pPr>
        <w:widowControl w:val="0"/>
        <w:tabs>
          <w:tab w:val="left" w:pos="540"/>
        </w:tabs>
        <w:spacing w:line="480" w:lineRule="auto"/>
        <w:jc w:val="both"/>
        <w:rPr>
          <w:sz w:val="20"/>
          <w:szCs w:val="20"/>
        </w:rPr>
      </w:pPr>
      <w:r>
        <w:rPr>
          <w:sz w:val="20"/>
          <w:szCs w:val="20"/>
        </w:rPr>
        <w:t xml:space="preserve">Pursuant to the provisions of the Americans with Disabilities Act, any person requiring special accommodations to participate in this workshop/meeting is asked to advice the agency at least </w:t>
      </w:r>
      <w:r w:rsidR="00064C94">
        <w:rPr>
          <w:sz w:val="20"/>
          <w:szCs w:val="20"/>
        </w:rPr>
        <w:t>5</w:t>
      </w:r>
      <w:r>
        <w:rPr>
          <w:sz w:val="20"/>
          <w:szCs w:val="20"/>
        </w:rPr>
        <w:t xml:space="preserve"> days before the workshop/meeting by contacting: </w:t>
      </w:r>
      <w:r w:rsidR="00064C94" w:rsidRPr="0080779F">
        <w:rPr>
          <w:sz w:val="20"/>
          <w:szCs w:val="20"/>
        </w:rPr>
        <w:t>Charlene Miller, Bureau Chief, Division of Workers’ Compensation, 200 E. Gaines Street, Tallahassee, FL 32399, (850) 413-1738, Charlene.Miller@myfloridacfo.com.</w:t>
      </w:r>
    </w:p>
    <w:p w14:paraId="5DA1A4A0" w14:textId="77777777" w:rsidR="00B21AFA" w:rsidRDefault="00B21AFA" w:rsidP="00380A24">
      <w:pPr>
        <w:widowControl w:val="0"/>
        <w:tabs>
          <w:tab w:val="left" w:pos="540"/>
        </w:tabs>
        <w:spacing w:line="480" w:lineRule="auto"/>
        <w:jc w:val="both"/>
        <w:rPr>
          <w:sz w:val="20"/>
          <w:szCs w:val="20"/>
        </w:rPr>
      </w:pPr>
      <w:r>
        <w:rPr>
          <w:sz w:val="20"/>
          <w:szCs w:val="20"/>
        </w:rPr>
        <w:t>If you are hearing or speech impaired, please contact the agency using the Florida Relay Service, 1(800)955-8771 (TDD) or 1(800)955-8770 (Voice).</w:t>
      </w:r>
    </w:p>
    <w:p w14:paraId="376EFDA6" w14:textId="12B124C5" w:rsidR="00B21AFA" w:rsidRDefault="00B21AFA" w:rsidP="00380A24">
      <w:pPr>
        <w:widowControl w:val="0"/>
        <w:spacing w:line="480" w:lineRule="auto"/>
        <w:jc w:val="both"/>
        <w:rPr>
          <w:sz w:val="20"/>
          <w:szCs w:val="20"/>
        </w:rPr>
      </w:pPr>
      <w:r>
        <w:rPr>
          <w:sz w:val="20"/>
          <w:szCs w:val="20"/>
        </w:rPr>
        <w:t>THE PERSON TO BE CONTACTED REGARDING THE PROPOSED RULE IS:</w:t>
      </w:r>
      <w:r w:rsidR="004D5D53">
        <w:rPr>
          <w:sz w:val="20"/>
          <w:szCs w:val="20"/>
        </w:rPr>
        <w:t xml:space="preserve"> </w:t>
      </w:r>
      <w:r w:rsidR="004D5D53" w:rsidRPr="0080779F">
        <w:rPr>
          <w:sz w:val="20"/>
          <w:szCs w:val="20"/>
        </w:rPr>
        <w:t>Charlene Miller, Bureau Chief, Division of Workers’ Compensation, 200 E. Gaines Street, Tallahassee, FL 32399, (850) 413-1738, Charlene.Miller@myfloridacfo.com.</w:t>
      </w:r>
    </w:p>
    <w:p w14:paraId="518EA8EC" w14:textId="63B0A334" w:rsidR="00B21AFA" w:rsidRDefault="00B21AFA" w:rsidP="00380A24">
      <w:pPr>
        <w:widowControl w:val="0"/>
        <w:spacing w:line="480" w:lineRule="auto"/>
        <w:jc w:val="both"/>
        <w:rPr>
          <w:sz w:val="20"/>
          <w:szCs w:val="20"/>
        </w:rPr>
      </w:pPr>
      <w:r>
        <w:rPr>
          <w:sz w:val="20"/>
          <w:szCs w:val="20"/>
        </w:rPr>
        <w:t>THE FULL TEXT OF THE PROPOSED RULE IS:</w:t>
      </w:r>
    </w:p>
    <w:p w14:paraId="43933A0C" w14:textId="77777777" w:rsidR="008C7BB8" w:rsidRPr="00EE230B" w:rsidRDefault="0020186D" w:rsidP="00EE230B">
      <w:pPr>
        <w:widowControl w:val="0"/>
        <w:tabs>
          <w:tab w:val="left" w:pos="360"/>
        </w:tabs>
        <w:overflowPunct w:val="0"/>
        <w:autoSpaceDE w:val="0"/>
        <w:autoSpaceDN w:val="0"/>
        <w:adjustRightInd w:val="0"/>
        <w:spacing w:before="220" w:line="480" w:lineRule="auto"/>
        <w:ind w:firstLine="360"/>
        <w:textAlignment w:val="baseline"/>
        <w:outlineLvl w:val="1"/>
        <w:rPr>
          <w:b/>
          <w:noProof/>
          <w:color w:val="000000"/>
          <w:sz w:val="20"/>
          <w:szCs w:val="20"/>
        </w:rPr>
      </w:pPr>
      <w:hyperlink r:id="rId7" w:tgtFrame="ruleNo" w:history="1">
        <w:r w:rsidR="008C7BB8" w:rsidRPr="00EE230B">
          <w:rPr>
            <w:b/>
            <w:sz w:val="20"/>
            <w:szCs w:val="20"/>
          </w:rPr>
          <w:t>69L-7.020</w:t>
        </w:r>
      </w:hyperlink>
      <w:r w:rsidR="008C7BB8" w:rsidRPr="00EE230B">
        <w:rPr>
          <w:b/>
          <w:sz w:val="20"/>
          <w:szCs w:val="20"/>
        </w:rPr>
        <w:t xml:space="preserve"> Florida Workers’ Compensation Health Care Provider Reimbursement Manual</w:t>
      </w:r>
      <w:r w:rsidR="008C7BB8" w:rsidRPr="00EE230B">
        <w:rPr>
          <w:b/>
          <w:noProof/>
          <w:color w:val="000000"/>
          <w:sz w:val="20"/>
          <w:szCs w:val="20"/>
        </w:rPr>
        <w:t>.</w:t>
      </w:r>
    </w:p>
    <w:p w14:paraId="0226B2CF" w14:textId="77777777" w:rsidR="008C7BB8" w:rsidRPr="00EE230B" w:rsidRDefault="008C7BB8" w:rsidP="00EE230B">
      <w:pPr>
        <w:widowControl w:val="0"/>
        <w:tabs>
          <w:tab w:val="left" w:pos="360"/>
        </w:tabs>
        <w:overflowPunct w:val="0"/>
        <w:autoSpaceDE w:val="0"/>
        <w:autoSpaceDN w:val="0"/>
        <w:adjustRightInd w:val="0"/>
        <w:spacing w:line="480" w:lineRule="auto"/>
        <w:ind w:firstLine="360"/>
        <w:textAlignment w:val="baseline"/>
        <w:rPr>
          <w:noProof/>
          <w:color w:val="000000"/>
          <w:sz w:val="20"/>
          <w:szCs w:val="20"/>
        </w:rPr>
      </w:pPr>
      <w:r w:rsidRPr="00EE230B">
        <w:rPr>
          <w:noProof/>
          <w:color w:val="000000"/>
          <w:sz w:val="20"/>
          <w:szCs w:val="20"/>
        </w:rPr>
        <w:t xml:space="preserve">(1) The Florida Workers’ Compensation Health Care Provider Reimbursement Manual, </w:t>
      </w:r>
      <w:r w:rsidRPr="00EE230B">
        <w:rPr>
          <w:noProof/>
          <w:color w:val="000000"/>
          <w:sz w:val="20"/>
          <w:szCs w:val="20"/>
          <w:u w:val="single"/>
        </w:rPr>
        <w:t>2024</w:t>
      </w:r>
      <w:r w:rsidRPr="00EE230B">
        <w:rPr>
          <w:noProof/>
          <w:color w:val="000000"/>
          <w:sz w:val="20"/>
          <w:szCs w:val="20"/>
        </w:rPr>
        <w:t xml:space="preserve"> </w:t>
      </w:r>
      <w:r w:rsidRPr="00EE230B">
        <w:rPr>
          <w:strike/>
          <w:noProof/>
          <w:color w:val="000000"/>
          <w:sz w:val="20"/>
          <w:szCs w:val="20"/>
        </w:rPr>
        <w:t>2020</w:t>
      </w:r>
      <w:r w:rsidRPr="00EE230B">
        <w:rPr>
          <w:noProof/>
          <w:color w:val="000000"/>
          <w:sz w:val="20"/>
          <w:szCs w:val="20"/>
        </w:rPr>
        <w:t xml:space="preserve"> Edition </w:t>
      </w:r>
      <w:r w:rsidRPr="00EE230B">
        <w:rPr>
          <w:noProof/>
          <w:color w:val="000000"/>
          <w:sz w:val="20"/>
          <w:szCs w:val="20"/>
          <w:u w:val="single"/>
        </w:rPr>
        <w:t>(HCP RM)</w:t>
      </w:r>
      <w:r w:rsidRPr="00EE230B">
        <w:rPr>
          <w:strike/>
          <w:noProof/>
          <w:color w:val="000000"/>
          <w:sz w:val="20"/>
          <w:szCs w:val="20"/>
        </w:rPr>
        <w:t xml:space="preserve">, </w:t>
      </w:r>
      <w:r w:rsidRPr="00EE230B">
        <w:rPr>
          <w:strike/>
          <w:noProof/>
          <w:sz w:val="20"/>
          <w:szCs w:val="20"/>
        </w:rPr>
        <w:t>to</w:t>
      </w:r>
      <w:r w:rsidRPr="00EE230B">
        <w:rPr>
          <w:strike/>
          <w:noProof/>
          <w:color w:val="000000"/>
          <w:sz w:val="20"/>
          <w:szCs w:val="20"/>
        </w:rPr>
        <w:t xml:space="preserve"> become effective July 1, 2022</w:t>
      </w:r>
      <w:r w:rsidRPr="00EE230B">
        <w:rPr>
          <w:noProof/>
          <w:color w:val="000000"/>
          <w:sz w:val="20"/>
          <w:szCs w:val="20"/>
        </w:rPr>
        <w:t xml:space="preserve">, </w:t>
      </w:r>
      <w:r w:rsidRPr="00EE230B">
        <w:rPr>
          <w:sz w:val="20"/>
          <w:szCs w:val="20"/>
        </w:rPr>
        <w:t xml:space="preserve">is incorporated </w:t>
      </w:r>
      <w:r w:rsidRPr="00EE230B">
        <w:rPr>
          <w:noProof/>
          <w:color w:val="000000"/>
          <w:sz w:val="20"/>
          <w:szCs w:val="20"/>
        </w:rPr>
        <w:t xml:space="preserve">by reference as part of this rule. The HCP RM </w:t>
      </w:r>
      <w:r w:rsidRPr="00EE230B">
        <w:rPr>
          <w:strike/>
          <w:noProof/>
          <w:color w:val="000000"/>
          <w:sz w:val="20"/>
          <w:szCs w:val="20"/>
        </w:rPr>
        <w:t>contains the Maximum Reimbursement Allowances (MRAs) determined by the Three-Member Panel, pursuant to section 440.13(12), F.S., and</w:t>
      </w:r>
      <w:r w:rsidRPr="00EE230B">
        <w:rPr>
          <w:noProof/>
          <w:color w:val="000000"/>
          <w:sz w:val="20"/>
          <w:szCs w:val="20"/>
        </w:rPr>
        <w:t xml:space="preserve"> establishes reimbursement policies, guidelines, </w:t>
      </w:r>
      <w:r w:rsidRPr="00EE230B">
        <w:rPr>
          <w:noProof/>
          <w:color w:val="000000"/>
          <w:sz w:val="20"/>
          <w:szCs w:val="20"/>
          <w:u w:val="single"/>
        </w:rPr>
        <w:t>and procedures</w:t>
      </w:r>
      <w:r w:rsidRPr="00EE230B">
        <w:rPr>
          <w:noProof/>
          <w:color w:val="000000"/>
          <w:sz w:val="20"/>
          <w:szCs w:val="20"/>
        </w:rPr>
        <w:t xml:space="preserve"> </w:t>
      </w:r>
      <w:r w:rsidRPr="00EE230B">
        <w:rPr>
          <w:strike/>
          <w:noProof/>
          <w:color w:val="000000"/>
          <w:sz w:val="20"/>
          <w:szCs w:val="20"/>
        </w:rPr>
        <w:t>codes, and MRAs</w:t>
      </w:r>
      <w:r w:rsidRPr="00EE230B">
        <w:rPr>
          <w:noProof/>
          <w:color w:val="000000"/>
          <w:sz w:val="20"/>
          <w:szCs w:val="20"/>
        </w:rPr>
        <w:t xml:space="preserve"> for services provided by health care providers. Also, the HCP RM includes reimbursement policies and payment methodologies for pharmacists and medical suppliers. The policies and procedures in the HCP RM are in addition to the requirements and responsibilities established throught rule Chapter 69L-7, F.A.C., Workers’ Compensation Medical Reimbursement and Utilization Review.</w:t>
      </w:r>
    </w:p>
    <w:p w14:paraId="21A65783" w14:textId="77777777" w:rsidR="008C7BB8" w:rsidRPr="00EE230B" w:rsidRDefault="008C7BB8" w:rsidP="00EE230B">
      <w:pPr>
        <w:widowControl w:val="0"/>
        <w:tabs>
          <w:tab w:val="left" w:pos="360"/>
        </w:tabs>
        <w:overflowPunct w:val="0"/>
        <w:autoSpaceDE w:val="0"/>
        <w:autoSpaceDN w:val="0"/>
        <w:adjustRightInd w:val="0"/>
        <w:spacing w:line="480" w:lineRule="auto"/>
        <w:ind w:firstLine="360"/>
        <w:textAlignment w:val="baseline"/>
        <w:rPr>
          <w:noProof/>
          <w:color w:val="000000"/>
          <w:sz w:val="20"/>
          <w:szCs w:val="20"/>
        </w:rPr>
      </w:pPr>
      <w:r w:rsidRPr="00EE230B">
        <w:rPr>
          <w:noProof/>
          <w:color w:val="000000"/>
          <w:sz w:val="20"/>
          <w:szCs w:val="20"/>
        </w:rPr>
        <w:t>(2) The Current Procedural Terminology (CPT</w:t>
      </w:r>
      <w:r w:rsidRPr="00EE230B">
        <w:rPr>
          <w:noProof/>
          <w:color w:val="000000"/>
          <w:sz w:val="20"/>
          <w:szCs w:val="20"/>
          <w:vertAlign w:val="superscript"/>
        </w:rPr>
        <w:t>®</w:t>
      </w:r>
      <w:r w:rsidRPr="00EE230B">
        <w:rPr>
          <w:noProof/>
          <w:color w:val="000000"/>
          <w:sz w:val="20"/>
          <w:szCs w:val="20"/>
        </w:rPr>
        <w:t xml:space="preserve">), </w:t>
      </w:r>
      <w:r w:rsidRPr="00EE230B">
        <w:rPr>
          <w:noProof/>
          <w:color w:val="000000"/>
          <w:sz w:val="20"/>
          <w:szCs w:val="20"/>
          <w:u w:val="single"/>
        </w:rPr>
        <w:t>2024</w:t>
      </w:r>
      <w:r w:rsidRPr="00EE230B">
        <w:rPr>
          <w:noProof/>
          <w:color w:val="000000"/>
          <w:sz w:val="20"/>
          <w:szCs w:val="20"/>
        </w:rPr>
        <w:t xml:space="preserve"> </w:t>
      </w:r>
      <w:r w:rsidRPr="00EE230B">
        <w:rPr>
          <w:strike/>
          <w:noProof/>
          <w:color w:val="000000"/>
          <w:sz w:val="20"/>
          <w:szCs w:val="20"/>
        </w:rPr>
        <w:t>2020</w:t>
      </w:r>
      <w:r w:rsidRPr="00EE230B">
        <w:rPr>
          <w:noProof/>
          <w:color w:val="000000"/>
          <w:sz w:val="20"/>
          <w:szCs w:val="20"/>
        </w:rPr>
        <w:t xml:space="preserve"> Professional Edition, Copyright </w:t>
      </w:r>
      <w:r w:rsidRPr="00EE230B">
        <w:rPr>
          <w:noProof/>
          <w:color w:val="000000"/>
          <w:sz w:val="20"/>
          <w:szCs w:val="20"/>
          <w:u w:val="single"/>
        </w:rPr>
        <w:t>2023</w:t>
      </w:r>
      <w:r w:rsidRPr="00EE230B">
        <w:rPr>
          <w:noProof/>
          <w:color w:val="000000"/>
          <w:sz w:val="20"/>
          <w:szCs w:val="20"/>
        </w:rPr>
        <w:t xml:space="preserve"> </w:t>
      </w:r>
      <w:r w:rsidRPr="00EE230B">
        <w:rPr>
          <w:strike/>
          <w:noProof/>
          <w:color w:val="000000"/>
          <w:sz w:val="20"/>
          <w:szCs w:val="20"/>
        </w:rPr>
        <w:t>2019</w:t>
      </w:r>
      <w:r w:rsidRPr="00EE230B">
        <w:rPr>
          <w:noProof/>
          <w:color w:val="000000"/>
          <w:sz w:val="20"/>
          <w:szCs w:val="20"/>
        </w:rPr>
        <w:t xml:space="preserve">, American Medical Association; the CDT </w:t>
      </w:r>
      <w:r w:rsidRPr="00EE230B">
        <w:rPr>
          <w:noProof/>
          <w:color w:val="000000"/>
          <w:sz w:val="20"/>
          <w:u w:val="single"/>
        </w:rPr>
        <w:t>2024</w:t>
      </w:r>
      <w:r w:rsidRPr="00EE230B">
        <w:rPr>
          <w:noProof/>
          <w:color w:val="000000"/>
          <w:sz w:val="20"/>
        </w:rPr>
        <w:t xml:space="preserve"> </w:t>
      </w:r>
      <w:r w:rsidRPr="00EE230B">
        <w:rPr>
          <w:strike/>
          <w:noProof/>
          <w:color w:val="000000"/>
          <w:sz w:val="20"/>
        </w:rPr>
        <w:t>2020</w:t>
      </w:r>
      <w:r w:rsidRPr="00EE230B">
        <w:rPr>
          <w:noProof/>
          <w:color w:val="000000"/>
          <w:sz w:val="20"/>
          <w:szCs w:val="20"/>
        </w:rPr>
        <w:t xml:space="preserve">, </w:t>
      </w:r>
      <w:r w:rsidRPr="00EE230B">
        <w:rPr>
          <w:noProof/>
          <w:color w:val="000000"/>
          <w:sz w:val="20"/>
          <w:szCs w:val="20"/>
          <w:u w:val="single"/>
        </w:rPr>
        <w:t>Current Dental Terminology</w:t>
      </w:r>
      <w:r w:rsidRPr="00EE230B">
        <w:rPr>
          <w:noProof/>
          <w:color w:val="000000"/>
          <w:sz w:val="20"/>
          <w:szCs w:val="20"/>
        </w:rPr>
        <w:t xml:space="preserve"> </w:t>
      </w:r>
      <w:r w:rsidRPr="00EE230B">
        <w:rPr>
          <w:strike/>
          <w:noProof/>
          <w:sz w:val="20"/>
        </w:rPr>
        <w:t>Dental Procedure Codes</w:t>
      </w:r>
      <w:r w:rsidRPr="00EE230B">
        <w:rPr>
          <w:noProof/>
          <w:sz w:val="20"/>
        </w:rPr>
        <w:t xml:space="preserve">, </w:t>
      </w:r>
      <w:r w:rsidRPr="00EE230B">
        <w:rPr>
          <w:noProof/>
          <w:color w:val="000000"/>
          <w:sz w:val="20"/>
          <w:szCs w:val="20"/>
        </w:rPr>
        <w:t xml:space="preserve">Copyright </w:t>
      </w:r>
      <w:r w:rsidRPr="00EE230B">
        <w:rPr>
          <w:noProof/>
          <w:color w:val="000000"/>
          <w:sz w:val="20"/>
          <w:u w:val="single"/>
        </w:rPr>
        <w:t>2024</w:t>
      </w:r>
      <w:r w:rsidRPr="00EE230B">
        <w:rPr>
          <w:noProof/>
          <w:color w:val="000000"/>
          <w:sz w:val="20"/>
        </w:rPr>
        <w:t xml:space="preserve"> </w:t>
      </w:r>
      <w:r w:rsidRPr="00EE230B">
        <w:rPr>
          <w:strike/>
          <w:noProof/>
          <w:color w:val="000000"/>
          <w:sz w:val="20"/>
        </w:rPr>
        <w:t>2020</w:t>
      </w:r>
      <w:r w:rsidRPr="00EE230B">
        <w:rPr>
          <w:noProof/>
          <w:color w:val="000000"/>
          <w:sz w:val="20"/>
          <w:szCs w:val="20"/>
        </w:rPr>
        <w:t xml:space="preserve">, American Dental Association; in part, for D codes and for injectable J codes, and for other medical services and supply codes, the </w:t>
      </w:r>
      <w:r w:rsidRPr="00EE230B">
        <w:rPr>
          <w:noProof/>
          <w:color w:val="000000"/>
          <w:sz w:val="20"/>
          <w:szCs w:val="20"/>
          <w:u w:val="single"/>
        </w:rPr>
        <w:t xml:space="preserve">Optum 2024 </w:t>
      </w:r>
      <w:r w:rsidRPr="00EE230B">
        <w:rPr>
          <w:noProof/>
          <w:sz w:val="20"/>
        </w:rPr>
        <w:t>HCPCS Level II, Professional</w:t>
      </w:r>
      <w:r w:rsidRPr="00EE230B">
        <w:rPr>
          <w:noProof/>
          <w:color w:val="000000"/>
          <w:sz w:val="20"/>
        </w:rPr>
        <w:t xml:space="preserve"> </w:t>
      </w:r>
      <w:r w:rsidRPr="00EE230B">
        <w:rPr>
          <w:strike/>
          <w:noProof/>
          <w:color w:val="000000"/>
          <w:sz w:val="20"/>
        </w:rPr>
        <w:t>2020</w:t>
      </w:r>
      <w:r w:rsidRPr="00EE230B">
        <w:rPr>
          <w:noProof/>
          <w:color w:val="000000"/>
          <w:sz w:val="20"/>
        </w:rPr>
        <w:t xml:space="preserve"> </w:t>
      </w:r>
      <w:r w:rsidRPr="00EE230B">
        <w:rPr>
          <w:strike/>
          <w:noProof/>
          <w:sz w:val="20"/>
        </w:rPr>
        <w:t>edition</w:t>
      </w:r>
      <w:r w:rsidRPr="00EE230B">
        <w:rPr>
          <w:noProof/>
          <w:color w:val="000000"/>
          <w:sz w:val="20"/>
          <w:szCs w:val="20"/>
        </w:rPr>
        <w:t xml:space="preserve">, </w:t>
      </w:r>
      <w:r w:rsidRPr="00EE230B">
        <w:rPr>
          <w:noProof/>
          <w:color w:val="000000"/>
          <w:sz w:val="20"/>
          <w:szCs w:val="20"/>
          <w:u w:val="single"/>
        </w:rPr>
        <w:t xml:space="preserve">A resourceful </w:t>
      </w:r>
      <w:r w:rsidRPr="00EE230B">
        <w:rPr>
          <w:noProof/>
          <w:color w:val="000000"/>
          <w:sz w:val="20"/>
          <w:szCs w:val="20"/>
          <w:u w:val="single"/>
        </w:rPr>
        <w:lastRenderedPageBreak/>
        <w:t>compilation of HCPCS codes</w:t>
      </w:r>
      <w:r w:rsidRPr="00EE230B">
        <w:rPr>
          <w:noProof/>
          <w:color w:val="000000"/>
          <w:sz w:val="20"/>
          <w:szCs w:val="20"/>
        </w:rPr>
        <w:t xml:space="preserve">, </w:t>
      </w:r>
      <w:r w:rsidRPr="00EE230B">
        <w:rPr>
          <w:strike/>
          <w:noProof/>
          <w:color w:val="000000"/>
          <w:sz w:val="20"/>
          <w:szCs w:val="20"/>
        </w:rPr>
        <w:t>American Medical Association,</w:t>
      </w:r>
      <w:r w:rsidRPr="00EE230B">
        <w:rPr>
          <w:noProof/>
          <w:color w:val="000000"/>
          <w:sz w:val="20"/>
          <w:szCs w:val="20"/>
        </w:rPr>
        <w:t xml:space="preserve"> Copyright </w:t>
      </w:r>
      <w:r w:rsidRPr="00EE230B">
        <w:rPr>
          <w:noProof/>
          <w:color w:val="000000"/>
          <w:sz w:val="20"/>
          <w:u w:val="single"/>
        </w:rPr>
        <w:t>2023</w:t>
      </w:r>
      <w:r w:rsidRPr="00EE230B">
        <w:rPr>
          <w:noProof/>
          <w:color w:val="000000"/>
          <w:sz w:val="20"/>
        </w:rPr>
        <w:t xml:space="preserve"> </w:t>
      </w:r>
      <w:r w:rsidRPr="00EE230B">
        <w:rPr>
          <w:strike/>
          <w:noProof/>
          <w:color w:val="000000"/>
          <w:sz w:val="20"/>
        </w:rPr>
        <w:t>2020</w:t>
      </w:r>
      <w:r w:rsidRPr="00EE230B">
        <w:rPr>
          <w:noProof/>
          <w:color w:val="000000"/>
          <w:sz w:val="20"/>
          <w:szCs w:val="20"/>
        </w:rPr>
        <w:t xml:space="preserve">, </w:t>
      </w:r>
      <w:r w:rsidRPr="00EE230B">
        <w:rPr>
          <w:noProof/>
          <w:color w:val="000000"/>
          <w:sz w:val="20"/>
          <w:szCs w:val="20"/>
          <w:u w:val="single"/>
        </w:rPr>
        <w:t>Optum 360, LLC</w:t>
      </w:r>
      <w:r w:rsidRPr="00EE230B">
        <w:rPr>
          <w:noProof/>
          <w:color w:val="000000"/>
          <w:sz w:val="20"/>
          <w:szCs w:val="20"/>
        </w:rPr>
        <w:t xml:space="preserve"> </w:t>
      </w:r>
      <w:r w:rsidRPr="00EE230B">
        <w:rPr>
          <w:strike/>
          <w:noProof/>
          <w:sz w:val="20"/>
        </w:rPr>
        <w:t>Elsevier Inc.</w:t>
      </w:r>
      <w:r w:rsidRPr="00EE230B">
        <w:rPr>
          <w:noProof/>
          <w:sz w:val="20"/>
          <w:szCs w:val="20"/>
        </w:rPr>
        <w:t>; the CPT</w:t>
      </w:r>
      <w:r w:rsidRPr="00EE230B">
        <w:rPr>
          <w:noProof/>
          <w:color w:val="000000"/>
          <w:sz w:val="20"/>
          <w:szCs w:val="20"/>
          <w:vertAlign w:val="superscript"/>
        </w:rPr>
        <w:t>®</w:t>
      </w:r>
      <w:r w:rsidRPr="00EE230B">
        <w:rPr>
          <w:noProof/>
          <w:sz w:val="20"/>
          <w:szCs w:val="20"/>
        </w:rPr>
        <w:t xml:space="preserve"> Assistant </w:t>
      </w:r>
      <w:r w:rsidRPr="00EE230B">
        <w:rPr>
          <w:noProof/>
          <w:color w:val="000000"/>
          <w:sz w:val="20"/>
          <w:szCs w:val="20"/>
          <w:u w:val="single"/>
        </w:rPr>
        <w:t>2024</w:t>
      </w:r>
      <w:r w:rsidRPr="00EE230B">
        <w:rPr>
          <w:noProof/>
          <w:color w:val="000000"/>
          <w:sz w:val="20"/>
          <w:szCs w:val="20"/>
        </w:rPr>
        <w:t xml:space="preserve"> </w:t>
      </w:r>
      <w:r w:rsidRPr="00EE230B">
        <w:rPr>
          <w:strike/>
          <w:noProof/>
          <w:color w:val="000000"/>
          <w:sz w:val="20"/>
          <w:szCs w:val="20"/>
        </w:rPr>
        <w:t>2020</w:t>
      </w:r>
      <w:r w:rsidRPr="00EE230B">
        <w:rPr>
          <w:noProof/>
          <w:sz w:val="20"/>
          <w:szCs w:val="20"/>
        </w:rPr>
        <w:t xml:space="preserve">, American Medical Association, Copyright </w:t>
      </w:r>
      <w:r w:rsidRPr="00EE230B">
        <w:rPr>
          <w:noProof/>
          <w:sz w:val="20"/>
          <w:szCs w:val="20"/>
          <w:u w:val="single"/>
        </w:rPr>
        <w:t>2023</w:t>
      </w:r>
      <w:r w:rsidRPr="00EE230B">
        <w:rPr>
          <w:noProof/>
          <w:sz w:val="20"/>
          <w:szCs w:val="20"/>
        </w:rPr>
        <w:t xml:space="preserve"> </w:t>
      </w:r>
      <w:r w:rsidRPr="00EE230B">
        <w:rPr>
          <w:strike/>
          <w:noProof/>
          <w:sz w:val="20"/>
          <w:szCs w:val="20"/>
        </w:rPr>
        <w:t>2019</w:t>
      </w:r>
      <w:r w:rsidRPr="00EE230B">
        <w:rPr>
          <w:noProof/>
          <w:sz w:val="20"/>
          <w:szCs w:val="20"/>
        </w:rPr>
        <w:t xml:space="preserve">; </w:t>
      </w:r>
      <w:r w:rsidRPr="00EE230B">
        <w:rPr>
          <w:strike/>
          <w:noProof/>
          <w:sz w:val="20"/>
          <w:szCs w:val="20"/>
        </w:rPr>
        <w:t xml:space="preserve">and </w:t>
      </w:r>
      <w:r w:rsidRPr="00EE230B">
        <w:rPr>
          <w:noProof/>
          <w:sz w:val="20"/>
        </w:rPr>
        <w:t xml:space="preserve">the </w:t>
      </w:r>
      <w:r w:rsidRPr="00EE230B">
        <w:rPr>
          <w:noProof/>
          <w:sz w:val="20"/>
          <w:u w:val="single"/>
        </w:rPr>
        <w:t>Optum 2024</w:t>
      </w:r>
      <w:r w:rsidRPr="00EE230B">
        <w:rPr>
          <w:noProof/>
          <w:sz w:val="20"/>
        </w:rPr>
        <w:t xml:space="preserve"> ICD-10-CM, </w:t>
      </w:r>
      <w:r w:rsidRPr="00EE230B">
        <w:rPr>
          <w:noProof/>
          <w:sz w:val="20"/>
          <w:u w:val="single"/>
        </w:rPr>
        <w:t>Professional for Physicians</w:t>
      </w:r>
      <w:r w:rsidRPr="00EE230B">
        <w:rPr>
          <w:noProof/>
          <w:sz w:val="20"/>
        </w:rPr>
        <w:t xml:space="preserve"> </w:t>
      </w:r>
      <w:r w:rsidRPr="00EE230B">
        <w:rPr>
          <w:strike/>
          <w:noProof/>
          <w:color w:val="000000"/>
          <w:sz w:val="20"/>
        </w:rPr>
        <w:t>2020</w:t>
      </w:r>
      <w:r w:rsidRPr="00EE230B">
        <w:rPr>
          <w:noProof/>
          <w:sz w:val="20"/>
        </w:rPr>
        <w:t xml:space="preserve">: </w:t>
      </w:r>
      <w:r w:rsidRPr="00EE230B">
        <w:rPr>
          <w:noProof/>
          <w:sz w:val="20"/>
          <w:u w:val="single"/>
        </w:rPr>
        <w:t>The Complete Official Code Set,</w:t>
      </w:r>
      <w:r w:rsidRPr="00EE230B">
        <w:rPr>
          <w:noProof/>
          <w:sz w:val="20"/>
        </w:rPr>
        <w:t xml:space="preserve"> </w:t>
      </w:r>
      <w:r w:rsidRPr="00EE230B">
        <w:rPr>
          <w:strike/>
          <w:noProof/>
          <w:sz w:val="20"/>
        </w:rPr>
        <w:t>The Complete Official Codebook, American Medical Association,</w:t>
      </w:r>
      <w:r w:rsidRPr="00EE230B">
        <w:rPr>
          <w:noProof/>
          <w:sz w:val="20"/>
        </w:rPr>
        <w:t xml:space="preserve"> </w:t>
      </w:r>
      <w:r w:rsidRPr="00EE230B">
        <w:rPr>
          <w:noProof/>
          <w:sz w:val="20"/>
          <w:szCs w:val="20"/>
        </w:rPr>
        <w:t xml:space="preserve">Copyright </w:t>
      </w:r>
      <w:r w:rsidRPr="00EE230B">
        <w:rPr>
          <w:noProof/>
          <w:sz w:val="20"/>
          <w:szCs w:val="20"/>
          <w:u w:val="single"/>
        </w:rPr>
        <w:t>2023</w:t>
      </w:r>
      <w:r w:rsidRPr="00EE230B">
        <w:rPr>
          <w:noProof/>
          <w:sz w:val="20"/>
          <w:szCs w:val="20"/>
        </w:rPr>
        <w:t xml:space="preserve"> </w:t>
      </w:r>
      <w:r w:rsidRPr="00EE230B">
        <w:rPr>
          <w:strike/>
          <w:noProof/>
          <w:sz w:val="20"/>
          <w:szCs w:val="20"/>
        </w:rPr>
        <w:t>2019</w:t>
      </w:r>
      <w:r w:rsidRPr="00EE230B">
        <w:rPr>
          <w:noProof/>
          <w:sz w:val="20"/>
          <w:szCs w:val="20"/>
        </w:rPr>
        <w:t>, Optum360, LLC</w:t>
      </w:r>
      <w:r w:rsidRPr="00EE230B">
        <w:rPr>
          <w:noProof/>
          <w:sz w:val="20"/>
          <w:szCs w:val="20"/>
          <w:u w:val="single"/>
        </w:rPr>
        <w:t>; and the 2024 Relative Value Guide</w:t>
      </w:r>
      <w:r w:rsidRPr="00EE230B">
        <w:rPr>
          <w:noProof/>
          <w:color w:val="000000"/>
          <w:sz w:val="20"/>
          <w:szCs w:val="20"/>
          <w:u w:val="single"/>
          <w:vertAlign w:val="superscript"/>
        </w:rPr>
        <w:t>®</w:t>
      </w:r>
      <w:r w:rsidRPr="00EE230B">
        <w:rPr>
          <w:noProof/>
          <w:sz w:val="20"/>
          <w:szCs w:val="20"/>
          <w:u w:val="single"/>
        </w:rPr>
        <w:t>, A Guide for Anesthesia Values, Copyright 2023, American Society of Anesthesiologists</w:t>
      </w:r>
      <w:r w:rsidRPr="00EE230B">
        <w:rPr>
          <w:noProof/>
          <w:sz w:val="20"/>
          <w:szCs w:val="20"/>
        </w:rPr>
        <w:t>, are incorporated by reference as part of this rule. A copy of the American Medical Association reference materials may be obtained from the American Medical Association’s website at https://commerce.ama-assn.org/store/. A copy of the CDT reference material may be obtained from the American Dental Association’s website at https://www.ada.org/en/publications/ada-catalog.</w:t>
      </w:r>
    </w:p>
    <w:p w14:paraId="696934FF" w14:textId="67F0A1F6" w:rsidR="008C7BB8" w:rsidRPr="00EE230B" w:rsidRDefault="008C7BB8" w:rsidP="00EE230B">
      <w:pPr>
        <w:widowControl w:val="0"/>
        <w:tabs>
          <w:tab w:val="left" w:pos="360"/>
        </w:tabs>
        <w:overflowPunct w:val="0"/>
        <w:autoSpaceDE w:val="0"/>
        <w:autoSpaceDN w:val="0"/>
        <w:adjustRightInd w:val="0"/>
        <w:spacing w:line="480" w:lineRule="auto"/>
        <w:ind w:firstLine="360"/>
        <w:textAlignment w:val="baseline"/>
        <w:rPr>
          <w:noProof/>
          <w:color w:val="000000"/>
          <w:sz w:val="20"/>
          <w:szCs w:val="20"/>
        </w:rPr>
      </w:pPr>
      <w:r w:rsidRPr="00EE230B">
        <w:rPr>
          <w:noProof/>
          <w:color w:val="000000"/>
          <w:sz w:val="20"/>
          <w:szCs w:val="20"/>
        </w:rPr>
        <w:t xml:space="preserve">(3) </w:t>
      </w:r>
      <w:r w:rsidRPr="00EE230B">
        <w:rPr>
          <w:noProof/>
          <w:sz w:val="20"/>
          <w:szCs w:val="20"/>
        </w:rPr>
        <w:t>The Department has determined that posting the copyrighted materials in subsections (1) and</w:t>
      </w:r>
      <w:r w:rsidRPr="00EE230B">
        <w:rPr>
          <w:noProof/>
          <w:color w:val="000000"/>
          <w:sz w:val="20"/>
          <w:szCs w:val="20"/>
        </w:rPr>
        <w:t xml:space="preserve"> (2) above on the Internet would constitute a violation of federal copyright law. These </w:t>
      </w:r>
      <w:r w:rsidRPr="00EE230B">
        <w:rPr>
          <w:noProof/>
          <w:sz w:val="20"/>
          <w:szCs w:val="20"/>
        </w:rPr>
        <w:t>copyrighted</w:t>
      </w:r>
      <w:r w:rsidRPr="00EE230B">
        <w:rPr>
          <w:noProof/>
          <w:color w:val="FF0000"/>
          <w:sz w:val="20"/>
          <w:szCs w:val="20"/>
        </w:rPr>
        <w:t xml:space="preserve"> </w:t>
      </w:r>
      <w:r w:rsidRPr="00EE230B">
        <w:rPr>
          <w:noProof/>
          <w:color w:val="000000"/>
          <w:sz w:val="20"/>
          <w:szCs w:val="20"/>
        </w:rPr>
        <w:t xml:space="preserve">materials are available for public inspection and examination, but may not be copied, during normal business hours at: (a) the Florida Department of Financial Services, Division of Workers’ Compensation, Bureau of Monitoring and Audit, 1579 Summit Lake Drive, Tallahassee, Florida 32317; or (b) the Florida Department of State, R.A. Gray Building, 500 South Bronough Street, Tallahassee, Florida 32399-0250. In addition, the HCP RM may be obtained via the Department’s Division of Workers’ Compensation website at </w:t>
      </w:r>
      <w:r w:rsidRPr="00EE230B">
        <w:rPr>
          <w:noProof/>
          <w:sz w:val="20"/>
          <w:szCs w:val="20"/>
        </w:rPr>
        <w:t>https://www.myfloridacfo.com/Division/wc/</w:t>
      </w:r>
      <w:r w:rsidRPr="00EE230B">
        <w:rPr>
          <w:noProof/>
          <w:color w:val="000000"/>
          <w:sz w:val="20"/>
          <w:szCs w:val="20"/>
        </w:rPr>
        <w:t>.</w:t>
      </w:r>
    </w:p>
    <w:p w14:paraId="6E121123" w14:textId="04231B11" w:rsidR="00722E7D" w:rsidRDefault="008C7BB8" w:rsidP="00EE230B">
      <w:pPr>
        <w:widowControl w:val="0"/>
        <w:spacing w:line="480" w:lineRule="auto"/>
        <w:jc w:val="both"/>
        <w:rPr>
          <w:sz w:val="20"/>
          <w:szCs w:val="20"/>
        </w:rPr>
      </w:pPr>
      <w:r w:rsidRPr="00EE230B">
        <w:rPr>
          <w:i/>
          <w:noProof/>
          <w:color w:val="000000"/>
          <w:sz w:val="20"/>
          <w:szCs w:val="20"/>
        </w:rPr>
        <w:t>Rulemaking Authority 440.13</w:t>
      </w:r>
      <w:r w:rsidRPr="00EE230B">
        <w:rPr>
          <w:i/>
          <w:strike/>
          <w:noProof/>
          <w:color w:val="000000"/>
          <w:sz w:val="20"/>
          <w:szCs w:val="20"/>
        </w:rPr>
        <w:t>(13)(b)</w:t>
      </w:r>
      <w:r w:rsidRPr="00EE230B">
        <w:rPr>
          <w:i/>
          <w:noProof/>
          <w:color w:val="000000"/>
          <w:sz w:val="20"/>
          <w:szCs w:val="20"/>
        </w:rPr>
        <w:t>, 440.591 FS. Law Implemented 440.13</w:t>
      </w:r>
      <w:r w:rsidRPr="00EE230B">
        <w:rPr>
          <w:i/>
          <w:strike/>
          <w:noProof/>
          <w:color w:val="000000"/>
          <w:sz w:val="20"/>
          <w:szCs w:val="20"/>
        </w:rPr>
        <w:t>(7), (12), (13)(b)</w:t>
      </w:r>
      <w:r w:rsidRPr="00EE230B">
        <w:rPr>
          <w:i/>
          <w:noProof/>
          <w:color w:val="000000"/>
          <w:sz w:val="20"/>
          <w:szCs w:val="20"/>
        </w:rPr>
        <w:t xml:space="preserve"> FS. History–New 10-1-82, Amended 3-16-83, 11-6-83, 5-21-85, Formerly 38F-7.20, Amended 4-1-88, 7-20-88, 6-1-91, 4-29-92, 2-18-96, 9-1-97, 12-15-97, 9-17-98, 9-30-01, 7-7-02, Formerly 38F-7.020, 4L-7.020, Amended 12-4-03, 1-1-04, 7-4-04, 5-9-05, 9-4-05, 11-16-06, 10-18-07, 2-4-09, 7-1-16, 7-1-17, 7-1-23</w:t>
      </w:r>
      <w:r w:rsidRPr="00EE230B">
        <w:rPr>
          <w:i/>
          <w:noProof/>
          <w:color w:val="000000"/>
          <w:sz w:val="20"/>
          <w:szCs w:val="20"/>
          <w:u w:val="single"/>
        </w:rPr>
        <w:t>, 1-1-25</w:t>
      </w:r>
      <w:r w:rsidRPr="00EE230B">
        <w:rPr>
          <w:i/>
          <w:noProof/>
          <w:color w:val="000000"/>
          <w:sz w:val="20"/>
          <w:szCs w:val="20"/>
        </w:rPr>
        <w:t>.</w:t>
      </w:r>
      <w:r w:rsidRPr="00EE230B">
        <w:rPr>
          <w:i/>
          <w:noProof/>
          <w:color w:val="000000"/>
          <w:sz w:val="20"/>
          <w:szCs w:val="20"/>
        </w:rPr>
        <w:br/>
      </w:r>
      <w:r w:rsidRPr="00EE230B">
        <w:rPr>
          <w:b/>
          <w:noProof/>
          <w:color w:val="000000"/>
          <w:sz w:val="20"/>
          <w:szCs w:val="20"/>
        </w:rPr>
        <w:t>Editorial Note:</w:t>
      </w:r>
      <w:r w:rsidRPr="00EE230B">
        <w:rPr>
          <w:noProof/>
          <w:color w:val="000000"/>
          <w:sz w:val="20"/>
          <w:szCs w:val="20"/>
        </w:rPr>
        <w:t xml:space="preserve"> Ratified by Ch. 2016-203, LOF, Ch. 2023-144, LOF.</w:t>
      </w:r>
    </w:p>
    <w:p w14:paraId="7AFC89B0" w14:textId="6C16C977" w:rsidR="00B21AFA" w:rsidRDefault="00B21AFA" w:rsidP="00380A24">
      <w:pPr>
        <w:widowControl w:val="0"/>
        <w:spacing w:line="480" w:lineRule="auto"/>
        <w:jc w:val="both"/>
        <w:rPr>
          <w:sz w:val="20"/>
          <w:szCs w:val="20"/>
        </w:rPr>
      </w:pPr>
      <w:r>
        <w:rPr>
          <w:sz w:val="20"/>
          <w:szCs w:val="20"/>
        </w:rPr>
        <w:t>NAME OF PERSON ORIGINATING PROPOSED RULE:</w:t>
      </w:r>
      <w:r w:rsidR="00F52CA5">
        <w:rPr>
          <w:sz w:val="20"/>
          <w:szCs w:val="20"/>
        </w:rPr>
        <w:t xml:space="preserve"> </w:t>
      </w:r>
      <w:r w:rsidR="00F52CA5" w:rsidRPr="0080779F">
        <w:rPr>
          <w:sz w:val="20"/>
          <w:szCs w:val="20"/>
        </w:rPr>
        <w:t>Charlene Miller, Bureau Chief</w:t>
      </w:r>
    </w:p>
    <w:p w14:paraId="453B2EE1" w14:textId="3F29D7F4" w:rsidR="00B21AFA" w:rsidRDefault="00B21AFA" w:rsidP="00380A24">
      <w:pPr>
        <w:widowControl w:val="0"/>
        <w:spacing w:line="480" w:lineRule="auto"/>
        <w:jc w:val="both"/>
        <w:rPr>
          <w:sz w:val="20"/>
          <w:szCs w:val="20"/>
        </w:rPr>
      </w:pPr>
      <w:r>
        <w:rPr>
          <w:sz w:val="20"/>
          <w:szCs w:val="20"/>
        </w:rPr>
        <w:t>NAME OF AGENCY HEAD WHO APPROVED THE PROPOSED RULE:</w:t>
      </w:r>
      <w:r w:rsidR="002B586A">
        <w:rPr>
          <w:sz w:val="20"/>
          <w:szCs w:val="20"/>
        </w:rPr>
        <w:t xml:space="preserve">  Jimmy Patronis, Chief Financial Officer</w:t>
      </w:r>
    </w:p>
    <w:p w14:paraId="0A825704" w14:textId="43346FF6" w:rsidR="00B21AFA" w:rsidRDefault="00B21AFA" w:rsidP="00380A24">
      <w:pPr>
        <w:widowControl w:val="0"/>
        <w:spacing w:line="480" w:lineRule="auto"/>
        <w:jc w:val="both"/>
        <w:rPr>
          <w:sz w:val="20"/>
          <w:szCs w:val="20"/>
        </w:rPr>
      </w:pPr>
      <w:r>
        <w:rPr>
          <w:sz w:val="20"/>
          <w:szCs w:val="20"/>
        </w:rPr>
        <w:t>DATE PROPOSED RULE APPROVED BY AGENCY HEAD:</w:t>
      </w:r>
      <w:r w:rsidR="00F52CA5">
        <w:rPr>
          <w:sz w:val="20"/>
          <w:szCs w:val="20"/>
        </w:rPr>
        <w:t xml:space="preserve"> </w:t>
      </w:r>
      <w:r w:rsidR="008A24E1">
        <w:rPr>
          <w:sz w:val="20"/>
          <w:szCs w:val="20"/>
        </w:rPr>
        <w:t>October 24, 2024</w:t>
      </w:r>
    </w:p>
    <w:p w14:paraId="4550EFCC" w14:textId="2BE52CE9" w:rsidR="00B21AFA" w:rsidRDefault="00B21AFA" w:rsidP="00380A24">
      <w:pPr>
        <w:widowControl w:val="0"/>
        <w:spacing w:line="480" w:lineRule="auto"/>
        <w:jc w:val="both"/>
        <w:rPr>
          <w:sz w:val="20"/>
          <w:szCs w:val="20"/>
        </w:rPr>
      </w:pPr>
      <w:r>
        <w:rPr>
          <w:sz w:val="20"/>
          <w:szCs w:val="20"/>
        </w:rPr>
        <w:t>DATE NOTICE OF PROPOSED RULE DEVELOPMENT PUBLISHED IN FAR:</w:t>
      </w:r>
      <w:r w:rsidR="00F52CA5">
        <w:rPr>
          <w:sz w:val="20"/>
          <w:szCs w:val="20"/>
        </w:rPr>
        <w:t xml:space="preserve"> </w:t>
      </w:r>
      <w:r w:rsidR="00DD368B">
        <w:rPr>
          <w:sz w:val="20"/>
          <w:szCs w:val="20"/>
        </w:rPr>
        <w:t>July 22, 2024</w:t>
      </w:r>
    </w:p>
    <w:bookmarkEnd w:id="0"/>
    <w:p w14:paraId="4D0C398E" w14:textId="77777777" w:rsidR="00E942D2" w:rsidRDefault="00E942D2" w:rsidP="00380A24">
      <w:pPr>
        <w:spacing w:line="480" w:lineRule="auto"/>
      </w:pPr>
    </w:p>
    <w:sectPr w:rsidR="00E94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AFA"/>
    <w:rsid w:val="0002663C"/>
    <w:rsid w:val="000346AE"/>
    <w:rsid w:val="0005661E"/>
    <w:rsid w:val="00064C94"/>
    <w:rsid w:val="000A5464"/>
    <w:rsid w:val="00127C6A"/>
    <w:rsid w:val="00145A79"/>
    <w:rsid w:val="00193346"/>
    <w:rsid w:val="001C398C"/>
    <w:rsid w:val="0020186D"/>
    <w:rsid w:val="002B586A"/>
    <w:rsid w:val="00380A24"/>
    <w:rsid w:val="004D5D53"/>
    <w:rsid w:val="00502BDF"/>
    <w:rsid w:val="005077CC"/>
    <w:rsid w:val="005246DF"/>
    <w:rsid w:val="005A53F0"/>
    <w:rsid w:val="006130A5"/>
    <w:rsid w:val="00635182"/>
    <w:rsid w:val="00651CD0"/>
    <w:rsid w:val="006872E7"/>
    <w:rsid w:val="006D29C8"/>
    <w:rsid w:val="00722E7D"/>
    <w:rsid w:val="007856F1"/>
    <w:rsid w:val="007D480D"/>
    <w:rsid w:val="00810F89"/>
    <w:rsid w:val="00866ACB"/>
    <w:rsid w:val="008A24E1"/>
    <w:rsid w:val="008C7BB8"/>
    <w:rsid w:val="0092060A"/>
    <w:rsid w:val="0097353F"/>
    <w:rsid w:val="009E4C57"/>
    <w:rsid w:val="00A7533A"/>
    <w:rsid w:val="00AE2DA1"/>
    <w:rsid w:val="00B07D36"/>
    <w:rsid w:val="00B21AFA"/>
    <w:rsid w:val="00BF7AF1"/>
    <w:rsid w:val="00C06EE0"/>
    <w:rsid w:val="00C16F39"/>
    <w:rsid w:val="00C87B0C"/>
    <w:rsid w:val="00CA6563"/>
    <w:rsid w:val="00D93B01"/>
    <w:rsid w:val="00DD368B"/>
    <w:rsid w:val="00DF095A"/>
    <w:rsid w:val="00E12846"/>
    <w:rsid w:val="00E55EB1"/>
    <w:rsid w:val="00E631E8"/>
    <w:rsid w:val="00E942D2"/>
    <w:rsid w:val="00EE230B"/>
    <w:rsid w:val="00F22376"/>
    <w:rsid w:val="00F33DB4"/>
    <w:rsid w:val="00F52CA5"/>
    <w:rsid w:val="00FC7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35D3"/>
  <w15:chartTrackingRefBased/>
  <w15:docId w15:val="{C7DCFBBB-D6E1-4BBF-9B8D-12BF2F1E6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A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51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18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35182"/>
    <w:rPr>
      <w:sz w:val="16"/>
      <w:szCs w:val="16"/>
    </w:rPr>
  </w:style>
  <w:style w:type="paragraph" w:styleId="CommentText">
    <w:name w:val="annotation text"/>
    <w:basedOn w:val="Normal"/>
    <w:link w:val="CommentTextChar"/>
    <w:uiPriority w:val="99"/>
    <w:semiHidden/>
    <w:unhideWhenUsed/>
    <w:rsid w:val="00635182"/>
    <w:rPr>
      <w:sz w:val="20"/>
      <w:szCs w:val="20"/>
    </w:rPr>
  </w:style>
  <w:style w:type="character" w:customStyle="1" w:styleId="CommentTextChar">
    <w:name w:val="Comment Text Char"/>
    <w:basedOn w:val="DefaultParagraphFont"/>
    <w:link w:val="CommentText"/>
    <w:uiPriority w:val="99"/>
    <w:semiHidden/>
    <w:rsid w:val="006351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5182"/>
    <w:rPr>
      <w:b/>
      <w:bCs/>
    </w:rPr>
  </w:style>
  <w:style w:type="character" w:customStyle="1" w:styleId="CommentSubjectChar">
    <w:name w:val="Comment Subject Char"/>
    <w:basedOn w:val="CommentTextChar"/>
    <w:link w:val="CommentSubject"/>
    <w:uiPriority w:val="99"/>
    <w:semiHidden/>
    <w:rsid w:val="00635182"/>
    <w:rPr>
      <w:rFonts w:ascii="Times New Roman" w:eastAsia="Times New Roman" w:hAnsi="Times New Roman" w:cs="Times New Roman"/>
      <w:b/>
      <w:bCs/>
      <w:sz w:val="20"/>
      <w:szCs w:val="20"/>
    </w:rPr>
  </w:style>
  <w:style w:type="paragraph" w:styleId="Revision">
    <w:name w:val="Revision"/>
    <w:hidden/>
    <w:uiPriority w:val="99"/>
    <w:semiHidden/>
    <w:rsid w:val="00E631E8"/>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A6563"/>
    <w:rPr>
      <w:color w:val="0563C1" w:themeColor="hyperlink"/>
      <w:u w:val="single"/>
    </w:rPr>
  </w:style>
  <w:style w:type="character" w:styleId="UnresolvedMention">
    <w:name w:val="Unresolved Mention"/>
    <w:basedOn w:val="DefaultParagraphFont"/>
    <w:uiPriority w:val="99"/>
    <w:semiHidden/>
    <w:unhideWhenUsed/>
    <w:rsid w:val="00CA6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09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flrules.com/gateway/ruleNo.asp?id=69L-7.0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09e90f-dec1-4777-aead-00ed6fda7471">
      <Terms xmlns="http://schemas.microsoft.com/office/infopath/2007/PartnerControls"/>
    </lcf76f155ced4ddcb4097134ff3c332f>
    <TaxCatchAll xmlns="9ec49287-f224-46bc-b9aa-7bc7bc8488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360F62558B2B40A28D2657D6363DF3" ma:contentTypeVersion="14" ma:contentTypeDescription="Create a new document." ma:contentTypeScope="" ma:versionID="5a78a090fe992ff13e7a9fa488aa7c24">
  <xsd:schema xmlns:xsd="http://www.w3.org/2001/XMLSchema" xmlns:xs="http://www.w3.org/2001/XMLSchema" xmlns:p="http://schemas.microsoft.com/office/2006/metadata/properties" xmlns:ns2="e009e90f-dec1-4777-aead-00ed6fda7471" xmlns:ns3="9ec49287-f224-46bc-b9aa-7bc7bc848841" targetNamespace="http://schemas.microsoft.com/office/2006/metadata/properties" ma:root="true" ma:fieldsID="24edd36d0de4976f6a6ba9b680c9cd0e" ns2:_="" ns3:_="">
    <xsd:import namespace="e009e90f-dec1-4777-aead-00ed6fda7471"/>
    <xsd:import namespace="9ec49287-f224-46bc-b9aa-7bc7bc8488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9e90f-dec1-4777-aead-00ed6fda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199f5e-f571-42dc-8172-d11fd433b9b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c49287-f224-46bc-b9aa-7bc7bc848841"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3f555f1-68bd-42d8-8063-78f97ffea294}" ma:internalName="TaxCatchAll" ma:showField="CatchAllData" ma:web="9ec49287-f224-46bc-b9aa-7bc7bc8488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038802-E3FD-4118-BBEA-F09E404FE26F}">
  <ds:schemaRefs>
    <ds:schemaRef ds:uri="http://schemas.microsoft.com/sharepoint/v3/contenttype/forms"/>
  </ds:schemaRefs>
</ds:datastoreItem>
</file>

<file path=customXml/itemProps2.xml><?xml version="1.0" encoding="utf-8"?>
<ds:datastoreItem xmlns:ds="http://schemas.openxmlformats.org/officeDocument/2006/customXml" ds:itemID="{F804F269-1EFB-471E-AB58-B77065A69D86}">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9ec49287-f224-46bc-b9aa-7bc7bc848841"/>
    <ds:schemaRef ds:uri="http://purl.org/dc/terms/"/>
    <ds:schemaRef ds:uri="http://schemas.microsoft.com/office/infopath/2007/PartnerControls"/>
    <ds:schemaRef ds:uri="http://purl.org/dc/dcmitype/"/>
    <ds:schemaRef ds:uri="e009e90f-dec1-4777-aead-00ed6fda7471"/>
    <ds:schemaRef ds:uri="http://www.w3.org/XML/1998/namespace"/>
  </ds:schemaRefs>
</ds:datastoreItem>
</file>

<file path=customXml/itemProps3.xml><?xml version="1.0" encoding="utf-8"?>
<ds:datastoreItem xmlns:ds="http://schemas.openxmlformats.org/officeDocument/2006/customXml" ds:itemID="{6F1A27BB-1685-4631-AFD9-822A0397A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9e90f-dec1-4777-aead-00ed6fda7471"/>
    <ds:schemaRef ds:uri="9ec49287-f224-46bc-b9aa-7bc7bc848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 Brittany</dc:creator>
  <cp:keywords/>
  <dc:description/>
  <cp:lastModifiedBy>Crossley, Cathy</cp:lastModifiedBy>
  <cp:revision>2</cp:revision>
  <dcterms:created xsi:type="dcterms:W3CDTF">2024-10-24T17:44:00Z</dcterms:created>
  <dcterms:modified xsi:type="dcterms:W3CDTF">2024-10-24T17:44:00Z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0x01010014360F62558B2B40A28D2657D6363DF3</vt:lpwstr>
  </property>
  <property fmtid="{D5CDD505-2E9C-101B-9397-08002B2CF9AE}" pid="3" name="MediaServiceImageTags">
    <vt:lpwstr/>
  </property>
</Properties>
</file>