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D639C8">
        <w:rPr>
          <w:b/>
          <w:sz w:val="24"/>
          <w:szCs w:val="24"/>
        </w:rPr>
        <w:t xml:space="preserve">BFST2770 </w:t>
      </w:r>
      <w:r w:rsidR="00791E2E">
        <w:rPr>
          <w:b/>
          <w:sz w:val="24"/>
          <w:szCs w:val="24"/>
        </w:rPr>
        <w:t xml:space="preserve">Legal </w:t>
      </w:r>
      <w:r w:rsidR="00D639C8">
        <w:rPr>
          <w:b/>
          <w:sz w:val="24"/>
          <w:szCs w:val="24"/>
        </w:rPr>
        <w:t xml:space="preserve">and Ethical </w:t>
      </w:r>
      <w:r w:rsidR="00791E2E">
        <w:rPr>
          <w:b/>
          <w:sz w:val="24"/>
          <w:szCs w:val="24"/>
        </w:rPr>
        <w:t xml:space="preserve">Issues in the Fire Service </w:t>
      </w:r>
      <w:r w:rsidRPr="00635D8B">
        <w:rPr>
          <w:b/>
          <w:sz w:val="24"/>
          <w:szCs w:val="24"/>
        </w:rPr>
        <w:t xml:space="preserve">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1021</w:t>
            </w:r>
          </w:p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</w:p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 xml:space="preserve">6.2 Human Resource Management </w:t>
            </w:r>
          </w:p>
          <w:p w:rsidR="005816EE" w:rsidRPr="0095477A" w:rsidRDefault="005816EE" w:rsidP="00541AC4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41AC4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6.2.1 </w:t>
            </w:r>
            <w:r w:rsidRPr="0095477A">
              <w:rPr>
                <w:sz w:val="24"/>
                <w:szCs w:val="24"/>
              </w:rPr>
              <w:t>Establish personnel assignments to maximize efficiency,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given knowledge, training, and experience of the members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available in accordance with policies and procedures, so that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human resources are used in an effective manner.</w:t>
            </w:r>
          </w:p>
          <w:p w:rsidR="005816EE" w:rsidRPr="0095477A" w:rsidRDefault="005816EE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41AC4" w:rsidRPr="0095477A" w:rsidTr="003D15E2">
        <w:trPr>
          <w:jc w:val="center"/>
        </w:trPr>
        <w:tc>
          <w:tcPr>
            <w:tcW w:w="2605" w:type="dxa"/>
          </w:tcPr>
          <w:p w:rsidR="00541AC4" w:rsidRDefault="00541AC4" w:rsidP="00531C1F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41AC4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6.2.2 </w:t>
            </w:r>
            <w:r w:rsidRPr="0095477A">
              <w:rPr>
                <w:sz w:val="24"/>
                <w:szCs w:val="24"/>
              </w:rPr>
              <w:t>Develop procedures for hiring members, given policies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of the AHJ and legal requirements, so that the process is valid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reliable.</w:t>
            </w:r>
          </w:p>
          <w:p w:rsidR="00541AC4" w:rsidRPr="0095477A" w:rsidRDefault="00541AC4" w:rsidP="00531C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</w:tcPr>
          <w:p w:rsidR="00541AC4" w:rsidRPr="0095477A" w:rsidRDefault="00541AC4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816EE" w:rsidRPr="005816EE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6.2.3 </w:t>
            </w:r>
            <w:r w:rsidRPr="0095477A">
              <w:rPr>
                <w:sz w:val="24"/>
                <w:szCs w:val="24"/>
              </w:rPr>
              <w:t>Develop procedures and programs for promoting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members, given applicable policies and legal requirements, so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that the process is valid and reliable, job-related, and nondiscriminatory.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3D15E2">
        <w:trPr>
          <w:jc w:val="center"/>
        </w:trPr>
        <w:tc>
          <w:tcPr>
            <w:tcW w:w="2605" w:type="dxa"/>
          </w:tcPr>
          <w:p w:rsidR="00531C1F" w:rsidRPr="0095477A" w:rsidRDefault="00531C1F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531C1F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6.2.4 </w:t>
            </w:r>
            <w:r w:rsidRPr="0095477A">
              <w:rPr>
                <w:sz w:val="24"/>
                <w:szCs w:val="24"/>
              </w:rPr>
              <w:t>Describe methods to facilitate and encourage members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to participate in professional development, given a professional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development model, so that members achieve their personal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and professional goals.</w:t>
            </w:r>
          </w:p>
        </w:tc>
        <w:tc>
          <w:tcPr>
            <w:tcW w:w="2785" w:type="dxa"/>
          </w:tcPr>
          <w:p w:rsidR="00531C1F" w:rsidRDefault="00531C1F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3D15E2">
        <w:trPr>
          <w:jc w:val="center"/>
        </w:trPr>
        <w:tc>
          <w:tcPr>
            <w:tcW w:w="2605" w:type="dxa"/>
          </w:tcPr>
          <w:p w:rsidR="00531C1F" w:rsidRPr="0095477A" w:rsidRDefault="00531C1F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531C1F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6.2.5 </w:t>
            </w:r>
            <w:r w:rsidRPr="0095477A">
              <w:rPr>
                <w:sz w:val="24"/>
                <w:szCs w:val="24"/>
              </w:rPr>
              <w:t>Develop a proposal for improving an employee benefit, given a need in the organization, so that adequate information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is included to justify the requested benefit improvement.</w:t>
            </w:r>
          </w:p>
        </w:tc>
        <w:tc>
          <w:tcPr>
            <w:tcW w:w="2785" w:type="dxa"/>
          </w:tcPr>
          <w:p w:rsidR="00531C1F" w:rsidRDefault="00531C1F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3D15E2">
        <w:trPr>
          <w:jc w:val="center"/>
        </w:trPr>
        <w:tc>
          <w:tcPr>
            <w:tcW w:w="2605" w:type="dxa"/>
          </w:tcPr>
          <w:p w:rsidR="00531C1F" w:rsidRPr="0095477A" w:rsidRDefault="00531C1F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531C1F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6.2.6 </w:t>
            </w:r>
            <w:r w:rsidRPr="0095477A">
              <w:rPr>
                <w:sz w:val="24"/>
                <w:szCs w:val="24"/>
              </w:rPr>
              <w:t>Develop a plan for providing an employee accommodation,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lastRenderedPageBreak/>
              <w:t>given an employee need, the requirements, and applicable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law, so that adequate information is included to justify</w:t>
            </w:r>
            <w:r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the requested change(s).</w:t>
            </w:r>
          </w:p>
        </w:tc>
        <w:tc>
          <w:tcPr>
            <w:tcW w:w="2785" w:type="dxa"/>
          </w:tcPr>
          <w:p w:rsidR="00531C1F" w:rsidRDefault="00531C1F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3D15E2">
        <w:trPr>
          <w:jc w:val="center"/>
        </w:trPr>
        <w:tc>
          <w:tcPr>
            <w:tcW w:w="2605" w:type="dxa"/>
          </w:tcPr>
          <w:p w:rsidR="00531C1F" w:rsidRPr="0095477A" w:rsidRDefault="00531C1F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6.2.7 </w:t>
            </w:r>
            <w:r w:rsidRPr="0095477A">
              <w:rPr>
                <w:sz w:val="24"/>
                <w:szCs w:val="24"/>
              </w:rPr>
              <w:t>Develop an ongoing education training program, given</w:t>
            </w:r>
          </w:p>
          <w:p w:rsidR="00531C1F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organizational training requirements, so that members of the</w:t>
            </w:r>
            <w:r w:rsidR="00541AC4">
              <w:rPr>
                <w:sz w:val="24"/>
                <w:szCs w:val="24"/>
              </w:rPr>
              <w:t xml:space="preserve"> </w:t>
            </w:r>
            <w:r w:rsidRPr="0095477A">
              <w:rPr>
                <w:sz w:val="24"/>
                <w:szCs w:val="24"/>
              </w:rPr>
              <w:t>organization are given appropriate training to meet the mission</w:t>
            </w:r>
          </w:p>
          <w:p w:rsidR="00531C1F" w:rsidRPr="00531C1F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of the organization.</w:t>
            </w:r>
          </w:p>
        </w:tc>
        <w:tc>
          <w:tcPr>
            <w:tcW w:w="2785" w:type="dxa"/>
          </w:tcPr>
          <w:p w:rsidR="00531C1F" w:rsidRDefault="00531C1F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3D15E2">
        <w:trPr>
          <w:jc w:val="center"/>
        </w:trPr>
        <w:tc>
          <w:tcPr>
            <w:tcW w:w="2605" w:type="dxa"/>
          </w:tcPr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1021</w:t>
            </w:r>
          </w:p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</w:p>
          <w:p w:rsidR="00531C1F" w:rsidRDefault="00531C1F" w:rsidP="00531C1F">
            <w:pPr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6.7 Health and Safety</w:t>
            </w:r>
          </w:p>
          <w:p w:rsidR="00531C1F" w:rsidRPr="00531C1F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541AC4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b/>
                <w:bCs/>
                <w:sz w:val="24"/>
                <w:szCs w:val="24"/>
              </w:rPr>
              <w:t xml:space="preserve">6.7.1 </w:t>
            </w:r>
            <w:r w:rsidRPr="0095477A">
              <w:rPr>
                <w:sz w:val="24"/>
                <w:szCs w:val="24"/>
              </w:rPr>
              <w:t>Develop a measurable accident and injury prevention program,</w:t>
            </w:r>
          </w:p>
          <w:p w:rsidR="00541AC4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given relevant local and national data, so that the results</w:t>
            </w:r>
          </w:p>
          <w:p w:rsidR="00531C1F" w:rsidRPr="0095477A" w:rsidRDefault="00541AC4" w:rsidP="00541AC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5477A">
              <w:rPr>
                <w:sz w:val="24"/>
                <w:szCs w:val="24"/>
              </w:rPr>
              <w:t>are evaluated to determine effectiveness of the program.</w:t>
            </w:r>
          </w:p>
        </w:tc>
        <w:tc>
          <w:tcPr>
            <w:tcW w:w="2785" w:type="dxa"/>
          </w:tcPr>
          <w:p w:rsidR="00531C1F" w:rsidRDefault="00531C1F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531C1F" w:rsidRDefault="00531C1F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Default="00541AC4" w:rsidP="00531C1F">
      <w:pPr>
        <w:rPr>
          <w:b/>
          <w:noProof/>
          <w:sz w:val="24"/>
          <w:szCs w:val="24"/>
        </w:rPr>
      </w:pPr>
    </w:p>
    <w:p w:rsidR="00541AC4" w:rsidRPr="0095477A" w:rsidRDefault="00541AC4" w:rsidP="00531C1F">
      <w:pPr>
        <w:rPr>
          <w:b/>
          <w:noProof/>
          <w:sz w:val="24"/>
          <w:szCs w:val="24"/>
        </w:rPr>
      </w:pPr>
    </w:p>
    <w:p w:rsidR="00EA1B08" w:rsidRDefault="00EA1B08" w:rsidP="00301DF9">
      <w:pPr>
        <w:rPr>
          <w:b/>
          <w:noProof/>
          <w:sz w:val="24"/>
          <w:szCs w:val="24"/>
        </w:rPr>
      </w:pPr>
    </w:p>
    <w:p w:rsidR="005728AD" w:rsidRDefault="005728AD"/>
    <w:p w:rsidR="00531C1F" w:rsidRDefault="00531C1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403D5D" w:rsidRPr="000925F6" w:rsidTr="00D90DDE"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403D5D" w:rsidRPr="0095477A" w:rsidRDefault="001B1344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403D5D" w:rsidRPr="0095477A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403D5D" w:rsidRPr="000925F6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403D5D" w:rsidRPr="0095477A" w:rsidTr="00EA1B08">
        <w:tc>
          <w:tcPr>
            <w:tcW w:w="2605" w:type="dxa"/>
          </w:tcPr>
          <w:p w:rsidR="00531C1F" w:rsidRDefault="00541AC4" w:rsidP="00531C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  <w:p w:rsidR="00531C1F" w:rsidRDefault="00531C1F" w:rsidP="00531C1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403D5D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 Regulatory Programs. </w:t>
            </w:r>
            <w:r w:rsidRPr="00782BD2">
              <w:rPr>
                <w:sz w:val="24"/>
                <w:szCs w:val="24"/>
              </w:rPr>
              <w:t>This duty involves development,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management, and application of regulatory programs.</w:t>
            </w:r>
          </w:p>
        </w:tc>
        <w:tc>
          <w:tcPr>
            <w:tcW w:w="3960" w:type="dxa"/>
          </w:tcPr>
          <w:p w:rsidR="00403D5D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5.6.1 General Requisite Knowledge. </w:t>
            </w:r>
            <w:r w:rsidRPr="00782BD2">
              <w:rPr>
                <w:sz w:val="24"/>
                <w:szCs w:val="24"/>
              </w:rPr>
              <w:t>Codes, standards, and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 applicable to the management of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regulatory environment including, but not limited to,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NFPA 1031 and other fire, building, and life safety codes.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1B1344" w:rsidRDefault="00403D5D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03D5D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5.6.2 </w:t>
            </w:r>
            <w:r w:rsidRPr="00782BD2">
              <w:rPr>
                <w:sz w:val="24"/>
                <w:szCs w:val="24"/>
              </w:rPr>
              <w:t>Manage a process for the adoption, modification,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maintenance of codes, standards, and jurisdictional requirements,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fire loss data and/or a demonstrated need or deficiency,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so that the code, standard, or jurisdictional requirement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is written and addresses the identified need or deficiency.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:rsidTr="00EA1B08">
        <w:tc>
          <w:tcPr>
            <w:tcW w:w="2605" w:type="dxa"/>
          </w:tcPr>
          <w:p w:rsidR="00403D5D" w:rsidRPr="001B1344" w:rsidRDefault="00403D5D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03D5D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5.6.3 </w:t>
            </w:r>
            <w:r w:rsidRPr="00782BD2">
              <w:rPr>
                <w:sz w:val="24"/>
                <w:szCs w:val="24"/>
              </w:rPr>
              <w:t>Manage a process for conducting compliance inspections,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applicable codes, standards, and jurisdictional requirements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and/or an identified issue, so that the applicable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codes, standards, and jurisdictional requirements are identified,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deficiencies are identified and documented, and compliance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determined.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5.6.4 </w:t>
            </w:r>
            <w:r w:rsidRPr="00782BD2">
              <w:rPr>
                <w:sz w:val="24"/>
                <w:szCs w:val="24"/>
              </w:rPr>
              <w:t>Manage a process for plan reviews, given the policies of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jurisdiction requiring plan reviews, so that requirements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for plan reviews are completed in accordance with the policies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of the jurisdiction.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31C1F" w:rsidP="00531C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5.6.5 </w:t>
            </w:r>
            <w:r w:rsidRPr="00782BD2">
              <w:rPr>
                <w:sz w:val="24"/>
                <w:szCs w:val="24"/>
              </w:rPr>
              <w:t>Manage an appeals process, given the codes, standards,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and </w:t>
            </w:r>
            <w:r w:rsidRPr="00782BD2">
              <w:rPr>
                <w:sz w:val="24"/>
                <w:szCs w:val="24"/>
              </w:rPr>
              <w:lastRenderedPageBreak/>
              <w:t>jurisdictional requirements, so that appeals can be resolved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 compliance with the intent of the applicable codes,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standards, and jurisdictional requirements.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5.6.6 </w:t>
            </w:r>
            <w:r w:rsidRPr="00782BD2">
              <w:rPr>
                <w:sz w:val="24"/>
                <w:szCs w:val="24"/>
              </w:rPr>
              <w:t>Manage a process for record keeping, given the need to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document the processes of the regulatory program, so that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there is a record of the regulatory actions.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5.6.7 </w:t>
            </w:r>
            <w:r w:rsidRPr="00782BD2">
              <w:rPr>
                <w:sz w:val="24"/>
                <w:szCs w:val="24"/>
              </w:rPr>
              <w:t>Manage a process for administering, evaluating,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issuing permits, licenses, and/or certificates of fitness, given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applicable jurisdictional requirements, so that applicable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codes, standards, and jurisdictional requirements are met.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5.6.8 </w:t>
            </w:r>
            <w:r w:rsidRPr="00782BD2">
              <w:rPr>
                <w:sz w:val="24"/>
                <w:szCs w:val="24"/>
              </w:rPr>
              <w:t>Manage the compliance interpretation process for prescriptive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codes, standards, and jurisdictional requirements,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complex issues related to codes, standards, and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requirements, so that a resolution of the issue meets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intent of the prescriptive codes, standards, and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541AC4" w:rsidP="00541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5.6.9</w:t>
            </w:r>
            <w:r w:rsidRPr="00782BD2">
              <w:rPr>
                <w:b/>
                <w:bCs/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Manage a program for alternative compliance measures,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the submittal of equivalencies, alternative methods,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performance-based design, so that the final design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meets the intent of the codes, standards, and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31C1F" w:rsidRPr="0095477A" w:rsidTr="00EA1B08">
        <w:tc>
          <w:tcPr>
            <w:tcW w:w="2605" w:type="dxa"/>
          </w:tcPr>
          <w:p w:rsidR="00531C1F" w:rsidRPr="001B1344" w:rsidRDefault="00531C1F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31C1F" w:rsidRPr="0095477A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5.6.10 </w:t>
            </w:r>
            <w:r w:rsidRPr="00782BD2">
              <w:rPr>
                <w:sz w:val="24"/>
                <w:szCs w:val="24"/>
              </w:rPr>
              <w:t>Manage the process for reconciling complaints, given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the report of a situation or condition, </w:t>
            </w:r>
            <w:r w:rsidRPr="00782BD2">
              <w:rPr>
                <w:sz w:val="24"/>
                <w:szCs w:val="24"/>
              </w:rPr>
              <w:lastRenderedPageBreak/>
              <w:t>so that complaints are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resolved and appropriate action is taken.</w:t>
            </w:r>
          </w:p>
        </w:tc>
        <w:tc>
          <w:tcPr>
            <w:tcW w:w="2785" w:type="dxa"/>
          </w:tcPr>
          <w:p w:rsidR="00531C1F" w:rsidRPr="0095477A" w:rsidRDefault="00531C1F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5.6.11 </w:t>
            </w:r>
            <w:r w:rsidRPr="00782BD2">
              <w:rPr>
                <w:sz w:val="24"/>
                <w:szCs w:val="24"/>
              </w:rPr>
              <w:t>Generate jurisdictional requirements for administering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regulatory management program, given management objectives, so that the requirements are clearly defined, concise, and in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accordance with the legal </w:t>
            </w:r>
            <w:r>
              <w:rPr>
                <w:sz w:val="24"/>
                <w:szCs w:val="24"/>
              </w:rPr>
              <w:t xml:space="preserve">obligations of the jurisdiction. 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5.6.12</w:t>
            </w:r>
            <w:r w:rsidRPr="00782BD2">
              <w:rPr>
                <w:b/>
                <w:bCs/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Manage a program to coordinate with other agencies, given that other agencies’ requirements can overlap the local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jurisdictions, so that conflicts are eliminated and clear lines of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responsibility are developed.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Default="0048475C" w:rsidP="00EA1B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  <w:p w:rsidR="0048475C" w:rsidRDefault="0048475C" w:rsidP="00EA1B08">
            <w:pPr>
              <w:rPr>
                <w:b/>
                <w:bCs/>
                <w:sz w:val="24"/>
                <w:szCs w:val="24"/>
              </w:rPr>
            </w:pPr>
          </w:p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5.8</w:t>
            </w:r>
            <w:r w:rsidRPr="00782BD2">
              <w:rPr>
                <w:b/>
                <w:bCs/>
                <w:sz w:val="24"/>
                <w:szCs w:val="24"/>
              </w:rPr>
              <w:t xml:space="preserve"> Investigation.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82BD2">
              <w:rPr>
                <w:sz w:val="24"/>
                <w:szCs w:val="24"/>
              </w:rPr>
              <w:t xml:space="preserve"> This duty involves the management of a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variety of investigations.</w:t>
            </w:r>
          </w:p>
        </w:tc>
        <w:tc>
          <w:tcPr>
            <w:tcW w:w="3960" w:type="dxa"/>
          </w:tcPr>
          <w:p w:rsidR="0048475C" w:rsidRPr="00782BD2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5.8.1 General Requisite Knowledge. </w:t>
            </w:r>
            <w:r w:rsidRPr="00782BD2">
              <w:rPr>
                <w:sz w:val="24"/>
                <w:szCs w:val="24"/>
              </w:rPr>
              <w:t>Codes, standards,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jurisdictional requirements, as they relate to the investigative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process.</w:t>
            </w:r>
          </w:p>
          <w:p w:rsidR="0048475C" w:rsidRPr="00782BD2" w:rsidRDefault="0048475C" w:rsidP="004847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5.8.2</w:t>
            </w:r>
            <w:r w:rsidRPr="00782BD2">
              <w:rPr>
                <w:b/>
                <w:bCs/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Administer applicable codes, standards, and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 for investigations, given applicable codes,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standards, and jurisdictional requirements for </w:t>
            </w:r>
            <w:r w:rsidR="009B03AC" w:rsidRPr="00782BD2">
              <w:rPr>
                <w:sz w:val="24"/>
                <w:szCs w:val="24"/>
              </w:rPr>
              <w:t>investigations, so</w:t>
            </w:r>
            <w:r w:rsidRPr="00782BD2">
              <w:rPr>
                <w:sz w:val="24"/>
                <w:szCs w:val="24"/>
              </w:rPr>
              <w:t xml:space="preserve"> that investigators are knowledgeable and operate within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organizational policies.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5.8.3 </w:t>
            </w:r>
            <w:r w:rsidRPr="00782BD2">
              <w:rPr>
                <w:sz w:val="24"/>
                <w:szCs w:val="24"/>
              </w:rPr>
              <w:t>Review and assess investigation reports and data to be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submitted in anticipation of litigation or resolution, given details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of an investigation including evidence collected, reports,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scene sketches, photographs, other related information,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data relevant to the investigation, so </w:t>
            </w:r>
            <w:r w:rsidRPr="00782BD2">
              <w:rPr>
                <w:sz w:val="24"/>
                <w:szCs w:val="24"/>
              </w:rPr>
              <w:lastRenderedPageBreak/>
              <w:t>that complete, accurate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documents are submitted for possible legal action.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5.8.4 </w:t>
            </w:r>
            <w:r w:rsidRPr="00782BD2">
              <w:rPr>
                <w:sz w:val="24"/>
                <w:szCs w:val="24"/>
              </w:rPr>
              <w:t>Conduct investigative analysis given reports compiled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from investigation data, to recommend action, so that fire prevention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other programs can be enhanced.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782BD2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5.8.5 </w:t>
            </w:r>
            <w:r w:rsidRPr="00782BD2">
              <w:rPr>
                <w:sz w:val="24"/>
                <w:szCs w:val="24"/>
              </w:rPr>
              <w:t>Manage technical resources needed to perform investigations,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personnel, protective equipment, jurisdictional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requirements, and other necessary equipment, including investigation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tools and resources for investigations so that investigators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are adequately protected and equipped and investigations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are conducted accord</w:t>
            </w:r>
            <w:bookmarkStart w:id="0" w:name="_GoBack"/>
            <w:bookmarkEnd w:id="0"/>
            <w:r w:rsidRPr="00782BD2">
              <w:rPr>
                <w:sz w:val="24"/>
                <w:szCs w:val="24"/>
              </w:rPr>
              <w:t>ing to safety requirements.</w:t>
            </w:r>
          </w:p>
          <w:p w:rsidR="0048475C" w:rsidRPr="00782BD2" w:rsidRDefault="0048475C" w:rsidP="0048475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8475C" w:rsidRPr="0095477A" w:rsidTr="00EA1B08">
        <w:tc>
          <w:tcPr>
            <w:tcW w:w="2605" w:type="dxa"/>
          </w:tcPr>
          <w:p w:rsidR="0048475C" w:rsidRPr="001B1344" w:rsidRDefault="0048475C" w:rsidP="00EA1B08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75C" w:rsidRPr="0048475C" w:rsidRDefault="0048475C" w:rsidP="00484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5.8.6</w:t>
            </w:r>
            <w:r w:rsidRPr="00782BD2">
              <w:rPr>
                <w:b/>
                <w:bCs/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Develop and manage a comprehensive investigation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program given reference materials and laws related to investigations,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including due process, so that legal mandates are met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jurisdictional requirements are formulated for required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investigations that are consistent, complete, and safe.</w:t>
            </w:r>
          </w:p>
        </w:tc>
        <w:tc>
          <w:tcPr>
            <w:tcW w:w="2785" w:type="dxa"/>
          </w:tcPr>
          <w:p w:rsidR="0048475C" w:rsidRPr="0095477A" w:rsidRDefault="0048475C" w:rsidP="00EA1B08">
            <w:pPr>
              <w:rPr>
                <w:noProof/>
                <w:sz w:val="24"/>
                <w:szCs w:val="24"/>
              </w:rPr>
            </w:pPr>
          </w:p>
        </w:tc>
      </w:tr>
    </w:tbl>
    <w:p w:rsidR="00403D5D" w:rsidRDefault="00403D5D" w:rsidP="00791E2E">
      <w:pPr>
        <w:rPr>
          <w:b/>
          <w:bCs/>
          <w:sz w:val="24"/>
          <w:szCs w:val="24"/>
        </w:rPr>
      </w:pPr>
    </w:p>
    <w:sectPr w:rsidR="00403D5D" w:rsidSect="00D90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8" w:rsidRDefault="00D63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>Worksheet:</w:t>
            </w:r>
            <w:r w:rsidR="00D639C8">
              <w:rPr>
                <w:b/>
                <w:sz w:val="20"/>
                <w:szCs w:val="20"/>
              </w:rPr>
              <w:t xml:space="preserve"> BFST2770 </w:t>
            </w:r>
            <w:r w:rsidR="00791E2E">
              <w:rPr>
                <w:b/>
                <w:sz w:val="20"/>
                <w:szCs w:val="20"/>
              </w:rPr>
              <w:t>Legal</w:t>
            </w:r>
            <w:r w:rsidR="00D639C8">
              <w:rPr>
                <w:b/>
                <w:sz w:val="20"/>
                <w:szCs w:val="20"/>
              </w:rPr>
              <w:t xml:space="preserve"> and Ethical</w:t>
            </w:r>
            <w:r w:rsidR="00791E2E">
              <w:rPr>
                <w:b/>
                <w:sz w:val="20"/>
                <w:szCs w:val="20"/>
              </w:rPr>
              <w:t xml:space="preserve"> Issues in the Fire Service 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9B03AC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9B03AC">
              <w:rPr>
                <w:b/>
                <w:bCs/>
                <w:noProof/>
                <w:sz w:val="20"/>
                <w:szCs w:val="20"/>
              </w:rPr>
              <w:t>7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8" w:rsidRDefault="00D63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8" w:rsidRDefault="00D63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9B03AC">
      <w:rPr>
        <w:bCs/>
        <w:noProof/>
        <w:sz w:val="20"/>
        <w:szCs w:val="20"/>
      </w:rPr>
      <w:t>10/2/2017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9B03AC">
      <w:rPr>
        <w:b/>
        <w:bCs/>
        <w:noProof/>
        <w:sz w:val="20"/>
        <w:szCs w:val="20"/>
      </w:rPr>
      <w:t>10/2/2017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0E4F2F"/>
    <w:rsid w:val="001777F7"/>
    <w:rsid w:val="001B1344"/>
    <w:rsid w:val="001B4C0D"/>
    <w:rsid w:val="00243815"/>
    <w:rsid w:val="00301DF9"/>
    <w:rsid w:val="003C47FD"/>
    <w:rsid w:val="003D15E2"/>
    <w:rsid w:val="00403D5D"/>
    <w:rsid w:val="0048475C"/>
    <w:rsid w:val="004A14B3"/>
    <w:rsid w:val="00531C1F"/>
    <w:rsid w:val="00541AC4"/>
    <w:rsid w:val="00565735"/>
    <w:rsid w:val="005728AD"/>
    <w:rsid w:val="005816EE"/>
    <w:rsid w:val="005C5EC9"/>
    <w:rsid w:val="005E1E4D"/>
    <w:rsid w:val="0062303D"/>
    <w:rsid w:val="00635D8B"/>
    <w:rsid w:val="00660C89"/>
    <w:rsid w:val="006B17D0"/>
    <w:rsid w:val="00791E2E"/>
    <w:rsid w:val="00794A54"/>
    <w:rsid w:val="007A54CA"/>
    <w:rsid w:val="0084201A"/>
    <w:rsid w:val="008E22F2"/>
    <w:rsid w:val="00913D92"/>
    <w:rsid w:val="00956285"/>
    <w:rsid w:val="009B03AC"/>
    <w:rsid w:val="00A5482E"/>
    <w:rsid w:val="00A65F9B"/>
    <w:rsid w:val="00AA0CF4"/>
    <w:rsid w:val="00C61748"/>
    <w:rsid w:val="00C808B2"/>
    <w:rsid w:val="00D00560"/>
    <w:rsid w:val="00D3089D"/>
    <w:rsid w:val="00D639C8"/>
    <w:rsid w:val="00D90DDE"/>
    <w:rsid w:val="00DD05AF"/>
    <w:rsid w:val="00E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16BA-160F-4E5C-A2D3-2D0ACE46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7191</Characters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2017-10-02T15:04:00Z</dcterms:created>
  <dcterms:modified xsi:type="dcterms:W3CDTF">2017-10-02T15:04:00Z</dcterms:modified>
</cp:coreProperties>
</file>