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E4D" w:rsidRPr="00635D8B" w:rsidRDefault="00635D8B" w:rsidP="00AA0CF4">
      <w:pPr>
        <w:pStyle w:val="Head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  </w:t>
      </w:r>
      <w:r w:rsidR="001B4C0D">
        <w:rPr>
          <w:b/>
          <w:sz w:val="24"/>
          <w:szCs w:val="24"/>
        </w:rPr>
        <w:t xml:space="preserve">          </w:t>
      </w:r>
      <w:r w:rsidR="00AA0CF4">
        <w:rPr>
          <w:b/>
          <w:sz w:val="24"/>
          <w:szCs w:val="24"/>
        </w:rPr>
        <w:t xml:space="preserve">                      </w:t>
      </w:r>
      <w:r w:rsidR="005E1E4D" w:rsidRPr="00635D8B">
        <w:rPr>
          <w:b/>
          <w:sz w:val="24"/>
          <w:szCs w:val="24"/>
        </w:rPr>
        <w:t>Course-to-</w:t>
      </w:r>
      <w:r w:rsidR="0084201A">
        <w:rPr>
          <w:b/>
          <w:sz w:val="24"/>
          <w:szCs w:val="24"/>
        </w:rPr>
        <w:t>Course Equivalency Worksheet</w:t>
      </w:r>
    </w:p>
    <w:p w:rsidR="005E1E4D" w:rsidRDefault="005E1E4D" w:rsidP="005E1E4D">
      <w:pPr>
        <w:pStyle w:val="Header"/>
        <w:jc w:val="center"/>
        <w:rPr>
          <w:b/>
          <w:sz w:val="24"/>
          <w:szCs w:val="24"/>
        </w:rPr>
      </w:pPr>
      <w:r w:rsidRPr="00635D8B">
        <w:rPr>
          <w:b/>
          <w:sz w:val="24"/>
          <w:szCs w:val="24"/>
        </w:rPr>
        <w:t xml:space="preserve">    </w:t>
      </w:r>
      <w:r w:rsidR="00635D8B">
        <w:rPr>
          <w:b/>
          <w:sz w:val="24"/>
          <w:szCs w:val="24"/>
        </w:rPr>
        <w:t xml:space="preserve">   </w:t>
      </w:r>
      <w:r w:rsidRPr="00635D8B">
        <w:rPr>
          <w:b/>
          <w:sz w:val="24"/>
          <w:szCs w:val="24"/>
        </w:rPr>
        <w:t xml:space="preserve"> BFST</w:t>
      </w:r>
      <w:r w:rsidR="006D45DC">
        <w:rPr>
          <w:b/>
          <w:sz w:val="24"/>
          <w:szCs w:val="24"/>
        </w:rPr>
        <w:t xml:space="preserve">4045 Personnel Management for the Fire Service </w:t>
      </w:r>
      <w:r w:rsidRPr="00635D8B">
        <w:rPr>
          <w:b/>
          <w:sz w:val="24"/>
          <w:szCs w:val="24"/>
        </w:rPr>
        <w:t xml:space="preserve"> </w:t>
      </w:r>
    </w:p>
    <w:p w:rsidR="00660C89" w:rsidRDefault="00660C89" w:rsidP="005E1E4D">
      <w:pPr>
        <w:pStyle w:val="Header"/>
        <w:jc w:val="center"/>
        <w:rPr>
          <w:b/>
          <w:sz w:val="24"/>
          <w:szCs w:val="24"/>
        </w:rPr>
      </w:pP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485"/>
        <w:gridCol w:w="4410"/>
      </w:tblGrid>
      <w:tr w:rsidR="00660C89" w:rsidTr="00D00560">
        <w:trPr>
          <w:trHeight w:val="458"/>
        </w:trPr>
        <w:tc>
          <w:tcPr>
            <w:tcW w:w="5485" w:type="dxa"/>
            <w:vAlign w:val="center"/>
          </w:tcPr>
          <w:p w:rsidR="00660C89" w:rsidRPr="00587232" w:rsidRDefault="00660C89" w:rsidP="00726E0D">
            <w:pPr>
              <w:autoSpaceDE w:val="0"/>
              <w:autoSpaceDN w:val="0"/>
              <w:adjustRightInd w:val="0"/>
              <w:rPr>
                <w:b/>
              </w:rPr>
            </w:pPr>
            <w:r w:rsidRPr="00587232">
              <w:rPr>
                <w:b/>
              </w:rPr>
              <w:t xml:space="preserve">Applicant Name: </w:t>
            </w:r>
          </w:p>
        </w:tc>
        <w:tc>
          <w:tcPr>
            <w:tcW w:w="4410" w:type="dxa"/>
            <w:vAlign w:val="center"/>
          </w:tcPr>
          <w:p w:rsidR="00660C89" w:rsidRPr="00587232" w:rsidRDefault="00660C89" w:rsidP="00726E0D">
            <w:pPr>
              <w:autoSpaceDE w:val="0"/>
              <w:autoSpaceDN w:val="0"/>
              <w:adjustRightInd w:val="0"/>
              <w:rPr>
                <w:b/>
              </w:rPr>
            </w:pPr>
            <w:r w:rsidRPr="00587232">
              <w:rPr>
                <w:b/>
              </w:rPr>
              <w:t>FCDICE Number:</w:t>
            </w:r>
          </w:p>
        </w:tc>
      </w:tr>
      <w:tr w:rsidR="00660C89" w:rsidTr="00D00560">
        <w:trPr>
          <w:trHeight w:val="458"/>
        </w:trPr>
        <w:tc>
          <w:tcPr>
            <w:tcW w:w="5485" w:type="dxa"/>
            <w:vAlign w:val="center"/>
          </w:tcPr>
          <w:p w:rsidR="00660C89" w:rsidRPr="00587232" w:rsidRDefault="00660C89" w:rsidP="00726E0D">
            <w:pPr>
              <w:autoSpaceDE w:val="0"/>
              <w:autoSpaceDN w:val="0"/>
              <w:adjustRightInd w:val="0"/>
              <w:rPr>
                <w:b/>
              </w:rPr>
            </w:pPr>
            <w:r w:rsidRPr="00587232">
              <w:rPr>
                <w:b/>
              </w:rPr>
              <w:t>Email:</w:t>
            </w:r>
          </w:p>
        </w:tc>
        <w:tc>
          <w:tcPr>
            <w:tcW w:w="4410" w:type="dxa"/>
            <w:vAlign w:val="center"/>
          </w:tcPr>
          <w:p w:rsidR="00660C89" w:rsidRPr="00587232" w:rsidRDefault="00D00560" w:rsidP="00726E0D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Date</w:t>
            </w:r>
            <w:r w:rsidR="00660C89" w:rsidRPr="00587232">
              <w:rPr>
                <w:b/>
              </w:rPr>
              <w:t>:</w:t>
            </w:r>
          </w:p>
        </w:tc>
      </w:tr>
    </w:tbl>
    <w:p w:rsidR="005E1E4D" w:rsidRDefault="005E1E4D" w:rsidP="005E1E4D">
      <w:pPr>
        <w:ind w:left="1440"/>
      </w:pPr>
    </w:p>
    <w:p w:rsidR="005E1E4D" w:rsidRDefault="0084201A">
      <w:pPr>
        <w:spacing w:after="160" w:line="259" w:lineRule="auto"/>
      </w:pPr>
      <w:r>
        <w:t>Applicants who wish to request a Course-to-Course Equivalency shall complete the following worksheet and attach the following information in the order that it appears on this list.</w:t>
      </w:r>
    </w:p>
    <w:p w:rsidR="0084201A" w:rsidRPr="0084201A" w:rsidRDefault="0084201A">
      <w:pPr>
        <w:spacing w:after="160" w:line="259" w:lineRule="auto"/>
        <w:rPr>
          <w:b/>
        </w:rPr>
      </w:pPr>
      <w:r w:rsidRPr="0084201A">
        <w:rPr>
          <w:b/>
        </w:rPr>
        <w:t>Please note that BFST will not evaluate a Course-to-Course Equivalency Request until ALL the required information has been submitted.</w:t>
      </w:r>
    </w:p>
    <w:p w:rsidR="004A14B3" w:rsidRDefault="004A14B3" w:rsidP="004A14B3">
      <w:pPr>
        <w:autoSpaceDE w:val="0"/>
        <w:autoSpaceDN w:val="0"/>
        <w:adjustRightInd w:val="0"/>
      </w:pPr>
    </w:p>
    <w:tbl>
      <w:tblPr>
        <w:tblStyle w:val="TableGrid"/>
        <w:tblW w:w="9900" w:type="dxa"/>
        <w:tblInd w:w="-5" w:type="dxa"/>
        <w:tblLook w:val="04A0" w:firstRow="1" w:lastRow="0" w:firstColumn="1" w:lastColumn="0" w:noHBand="0" w:noVBand="1"/>
      </w:tblPr>
      <w:tblGrid>
        <w:gridCol w:w="8100"/>
        <w:gridCol w:w="1800"/>
      </w:tblGrid>
      <w:tr w:rsidR="006B17D0" w:rsidTr="00D90DDE">
        <w:tc>
          <w:tcPr>
            <w:tcW w:w="8100" w:type="dxa"/>
            <w:vAlign w:val="center"/>
          </w:tcPr>
          <w:p w:rsidR="001777F7" w:rsidRDefault="001777F7" w:rsidP="001777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777F7">
              <w:rPr>
                <w:b/>
              </w:rPr>
              <w:t xml:space="preserve">Items Required for a </w:t>
            </w:r>
          </w:p>
          <w:p w:rsidR="006B17D0" w:rsidRPr="001777F7" w:rsidRDefault="006B17D0" w:rsidP="001777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777F7">
              <w:rPr>
                <w:b/>
              </w:rPr>
              <w:t xml:space="preserve">Course-To-Course </w:t>
            </w:r>
            <w:r w:rsidR="001777F7" w:rsidRPr="001777F7">
              <w:rPr>
                <w:b/>
              </w:rPr>
              <w:t>Equivalency Determination</w:t>
            </w:r>
          </w:p>
        </w:tc>
        <w:tc>
          <w:tcPr>
            <w:tcW w:w="1800" w:type="dxa"/>
            <w:vAlign w:val="center"/>
          </w:tcPr>
          <w:p w:rsidR="001777F7" w:rsidRDefault="001777F7" w:rsidP="001777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777F7">
              <w:rPr>
                <w:b/>
              </w:rPr>
              <w:t>√ When</w:t>
            </w:r>
          </w:p>
          <w:p w:rsidR="006B17D0" w:rsidRPr="001777F7" w:rsidRDefault="001777F7" w:rsidP="001777F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777F7">
              <w:rPr>
                <w:b/>
              </w:rPr>
              <w:t xml:space="preserve">Attached </w:t>
            </w:r>
            <w:r>
              <w:rPr>
                <w:b/>
              </w:rPr>
              <w:t xml:space="preserve"> / Completed</w:t>
            </w:r>
          </w:p>
        </w:tc>
      </w:tr>
      <w:tr w:rsidR="006B17D0" w:rsidTr="00913D92">
        <w:tc>
          <w:tcPr>
            <w:tcW w:w="8100" w:type="dxa"/>
          </w:tcPr>
          <w:p w:rsidR="001777F7" w:rsidRPr="0084201A" w:rsidRDefault="0084201A" w:rsidP="0084201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color w:val="0563C1" w:themeColor="hyperlink"/>
                <w:u w:val="single"/>
              </w:rPr>
            </w:pPr>
            <w:r>
              <w:t xml:space="preserve">Create </w:t>
            </w:r>
            <w:r w:rsidR="001777F7">
              <w:t xml:space="preserve">an email </w:t>
            </w:r>
            <w:r>
              <w:t xml:space="preserve">addressed </w:t>
            </w:r>
            <w:r w:rsidR="001777F7">
              <w:t xml:space="preserve">to </w:t>
            </w:r>
            <w:hyperlink r:id="rId8" w:history="1">
              <w:r w:rsidR="001777F7">
                <w:rPr>
                  <w:rStyle w:val="Hyperlink"/>
                </w:rPr>
                <w:t>FireCollegeTraining@MyFloridaCFO.com</w:t>
              </w:r>
            </w:hyperlink>
            <w:r w:rsidR="001777F7">
              <w:t xml:space="preserve"> </w:t>
            </w:r>
          </w:p>
        </w:tc>
        <w:tc>
          <w:tcPr>
            <w:tcW w:w="1800" w:type="dxa"/>
          </w:tcPr>
          <w:p w:rsidR="006B17D0" w:rsidRDefault="006B17D0" w:rsidP="00301DF9">
            <w:pPr>
              <w:autoSpaceDE w:val="0"/>
              <w:autoSpaceDN w:val="0"/>
              <w:adjustRightInd w:val="0"/>
            </w:pPr>
          </w:p>
        </w:tc>
      </w:tr>
      <w:tr w:rsidR="0084201A" w:rsidTr="00913D92">
        <w:tc>
          <w:tcPr>
            <w:tcW w:w="8100" w:type="dxa"/>
          </w:tcPr>
          <w:p w:rsidR="0084201A" w:rsidRDefault="0084201A" w:rsidP="0084201A">
            <w:pPr>
              <w:pStyle w:val="ListParagraph"/>
              <w:numPr>
                <w:ilvl w:val="0"/>
                <w:numId w:val="6"/>
              </w:numPr>
              <w:spacing w:after="200" w:line="276" w:lineRule="auto"/>
            </w:pPr>
            <w:r w:rsidRPr="001777F7">
              <w:t xml:space="preserve">Please note that there </w:t>
            </w:r>
            <w:r w:rsidRPr="0084201A">
              <w:rPr>
                <w:rStyle w:val="Hyperlink"/>
                <w:color w:val="auto"/>
                <w:u w:val="none"/>
              </w:rPr>
              <w:t>shall be only one Course-to-Course Equivalency Request per email.   Requests for multiple Course-to-Course Equivalency Evaluations shall each be submitted individually in separate emails.</w:t>
            </w:r>
          </w:p>
        </w:tc>
        <w:tc>
          <w:tcPr>
            <w:tcW w:w="1800" w:type="dxa"/>
          </w:tcPr>
          <w:p w:rsidR="0084201A" w:rsidRDefault="0084201A" w:rsidP="00301DF9">
            <w:pPr>
              <w:autoSpaceDE w:val="0"/>
              <w:autoSpaceDN w:val="0"/>
              <w:adjustRightInd w:val="0"/>
            </w:pPr>
          </w:p>
        </w:tc>
      </w:tr>
      <w:tr w:rsidR="006B17D0" w:rsidTr="00913D92">
        <w:tc>
          <w:tcPr>
            <w:tcW w:w="8100" w:type="dxa"/>
          </w:tcPr>
          <w:p w:rsidR="006B17D0" w:rsidRPr="0084201A" w:rsidRDefault="0084201A" w:rsidP="0084201A">
            <w:pPr>
              <w:pStyle w:val="ListParagraph"/>
              <w:numPr>
                <w:ilvl w:val="0"/>
                <w:numId w:val="6"/>
              </w:numPr>
              <w:spacing w:after="200" w:line="276" w:lineRule="auto"/>
              <w:rPr>
                <w:color w:val="0563C1" w:themeColor="hyperlink"/>
                <w:u w:val="single"/>
              </w:rPr>
            </w:pPr>
            <w:r>
              <w:t>The subject of the email shall be “Course-to-Course Equivalency Request.”</w:t>
            </w:r>
          </w:p>
        </w:tc>
        <w:tc>
          <w:tcPr>
            <w:tcW w:w="1800" w:type="dxa"/>
          </w:tcPr>
          <w:p w:rsidR="006B17D0" w:rsidRDefault="006B17D0" w:rsidP="00301DF9">
            <w:pPr>
              <w:autoSpaceDE w:val="0"/>
              <w:autoSpaceDN w:val="0"/>
              <w:adjustRightInd w:val="0"/>
            </w:pPr>
          </w:p>
        </w:tc>
      </w:tr>
      <w:tr w:rsidR="006B17D0" w:rsidTr="00913D92">
        <w:tc>
          <w:tcPr>
            <w:tcW w:w="8100" w:type="dxa"/>
          </w:tcPr>
          <w:p w:rsidR="00D3089D" w:rsidRDefault="0084201A" w:rsidP="00D3089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>Attach a</w:t>
            </w:r>
            <w:r w:rsidR="00D3089D">
              <w:t>n educational syllabus or agenda for the class that includes:</w:t>
            </w:r>
          </w:p>
          <w:p w:rsidR="0084201A" w:rsidRDefault="0084201A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The name and course number of the course that was completed.</w:t>
            </w:r>
          </w:p>
          <w:p w:rsidR="0084201A" w:rsidRDefault="0084201A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The name of the institution that sponsored the course.</w:t>
            </w:r>
          </w:p>
          <w:p w:rsidR="00D3089D" w:rsidRDefault="00D3089D" w:rsidP="0084201A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The contact information for the instructor.</w:t>
            </w:r>
          </w:p>
          <w:p w:rsidR="00D3089D" w:rsidRDefault="00D3089D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>The required number of classroom or interactive hours for the course.</w:t>
            </w:r>
          </w:p>
          <w:p w:rsidR="006B17D0" w:rsidRDefault="00D3089D" w:rsidP="00D3089D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</w:pPr>
            <w:r>
              <w:t xml:space="preserve"> A description of the course objectives, student learning outcomes, or job performance requirements covered in the course.</w:t>
            </w:r>
          </w:p>
        </w:tc>
        <w:tc>
          <w:tcPr>
            <w:tcW w:w="1800" w:type="dxa"/>
          </w:tcPr>
          <w:p w:rsidR="006B17D0" w:rsidRDefault="006B17D0" w:rsidP="00301DF9">
            <w:pPr>
              <w:autoSpaceDE w:val="0"/>
              <w:autoSpaceDN w:val="0"/>
              <w:adjustRightInd w:val="0"/>
            </w:pPr>
          </w:p>
        </w:tc>
      </w:tr>
      <w:tr w:rsidR="006B17D0" w:rsidTr="00913D92">
        <w:tc>
          <w:tcPr>
            <w:tcW w:w="8100" w:type="dxa"/>
          </w:tcPr>
          <w:p w:rsidR="006B17D0" w:rsidRDefault="0084201A" w:rsidP="00D3089D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 xml:space="preserve">Attach a </w:t>
            </w:r>
            <w:r w:rsidR="00D3089D">
              <w:t>verifiable transcript or record from the educational institution that shows proof of successful course completion.</w:t>
            </w:r>
          </w:p>
        </w:tc>
        <w:tc>
          <w:tcPr>
            <w:tcW w:w="1800" w:type="dxa"/>
          </w:tcPr>
          <w:p w:rsidR="006B17D0" w:rsidRDefault="006B17D0" w:rsidP="00301DF9">
            <w:pPr>
              <w:autoSpaceDE w:val="0"/>
              <w:autoSpaceDN w:val="0"/>
              <w:adjustRightInd w:val="0"/>
            </w:pPr>
          </w:p>
        </w:tc>
      </w:tr>
      <w:tr w:rsidR="00913D92" w:rsidTr="00913D92">
        <w:tc>
          <w:tcPr>
            <w:tcW w:w="8100" w:type="dxa"/>
          </w:tcPr>
          <w:p w:rsidR="00913D92" w:rsidRDefault="005816EE" w:rsidP="00C61748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</w:pPr>
            <w:r>
              <w:t xml:space="preserve">Attach </w:t>
            </w:r>
            <w:r w:rsidR="00C61748">
              <w:t xml:space="preserve">this </w:t>
            </w:r>
            <w:r w:rsidR="0084201A">
              <w:t>completed Course-to-Course Equivalency Worksheet t</w:t>
            </w:r>
            <w:r w:rsidR="00913D92">
              <w:t xml:space="preserve">hat details how each of the Job Performance Requirements of the BFST-Approved Course were satisfied by the </w:t>
            </w:r>
            <w:r w:rsidR="0084201A">
              <w:t xml:space="preserve">course for which equivalency is being requested.  </w:t>
            </w:r>
          </w:p>
        </w:tc>
        <w:tc>
          <w:tcPr>
            <w:tcW w:w="1800" w:type="dxa"/>
          </w:tcPr>
          <w:p w:rsidR="00913D92" w:rsidRDefault="00913D92" w:rsidP="00301DF9">
            <w:pPr>
              <w:autoSpaceDE w:val="0"/>
              <w:autoSpaceDN w:val="0"/>
              <w:adjustRightInd w:val="0"/>
            </w:pPr>
          </w:p>
        </w:tc>
      </w:tr>
    </w:tbl>
    <w:p w:rsidR="00301DF9" w:rsidRDefault="00301DF9" w:rsidP="00301DF9">
      <w:pPr>
        <w:autoSpaceDE w:val="0"/>
        <w:autoSpaceDN w:val="0"/>
        <w:adjustRightInd w:val="0"/>
        <w:ind w:left="720"/>
      </w:pPr>
    </w:p>
    <w:p w:rsidR="00660C89" w:rsidRDefault="00660C89" w:rsidP="00660C89">
      <w:pPr>
        <w:spacing w:after="160" w:line="259" w:lineRule="auto"/>
      </w:pPr>
    </w:p>
    <w:p w:rsidR="00660C89" w:rsidRPr="00D754D9" w:rsidRDefault="00660C89" w:rsidP="00660C89">
      <w:pPr>
        <w:spacing w:after="160" w:line="259" w:lineRule="auto"/>
        <w:rPr>
          <w:b/>
        </w:rPr>
      </w:pPr>
    </w:p>
    <w:p w:rsidR="00243815" w:rsidRDefault="00243815">
      <w:pPr>
        <w:spacing w:after="160" w:line="259" w:lineRule="auto"/>
      </w:pPr>
    </w:p>
    <w:p w:rsidR="005816EE" w:rsidRDefault="005816EE" w:rsidP="005816EE">
      <w:pPr>
        <w:jc w:val="center"/>
        <w:rPr>
          <w:b/>
          <w:noProof/>
          <w:sz w:val="24"/>
          <w:szCs w:val="24"/>
        </w:rPr>
      </w:pPr>
    </w:p>
    <w:p w:rsidR="00AA0CF4" w:rsidRPr="0095477A" w:rsidRDefault="00AA0CF4" w:rsidP="005816EE">
      <w:pPr>
        <w:jc w:val="center"/>
        <w:rPr>
          <w:b/>
          <w:noProof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3960"/>
        <w:gridCol w:w="2785"/>
      </w:tblGrid>
      <w:tr w:rsidR="00301DF9" w:rsidRPr="0095477A" w:rsidTr="003D15E2">
        <w:trPr>
          <w:tblHeader/>
          <w:jc w:val="center"/>
        </w:trPr>
        <w:tc>
          <w:tcPr>
            <w:tcW w:w="2605" w:type="dxa"/>
            <w:shd w:val="clear" w:color="auto" w:fill="BFBFBF" w:themeFill="background1" w:themeFillShade="BF"/>
            <w:vAlign w:val="center"/>
          </w:tcPr>
          <w:p w:rsidR="00301DF9" w:rsidRPr="0095477A" w:rsidRDefault="001B1344" w:rsidP="000B47A8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NFPA Standard</w:t>
            </w:r>
          </w:p>
        </w:tc>
        <w:tc>
          <w:tcPr>
            <w:tcW w:w="3960" w:type="dxa"/>
            <w:shd w:val="clear" w:color="auto" w:fill="BFBFBF" w:themeFill="background1" w:themeFillShade="BF"/>
            <w:vAlign w:val="center"/>
          </w:tcPr>
          <w:p w:rsidR="00301DF9" w:rsidRPr="0095477A" w:rsidRDefault="00301DF9" w:rsidP="000B47A8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95477A">
              <w:rPr>
                <w:b/>
                <w:noProof/>
                <w:sz w:val="24"/>
                <w:szCs w:val="24"/>
              </w:rPr>
              <w:t>Job Performance Requirement</w:t>
            </w:r>
          </w:p>
        </w:tc>
        <w:tc>
          <w:tcPr>
            <w:tcW w:w="2785" w:type="dxa"/>
            <w:shd w:val="clear" w:color="auto" w:fill="BFBFBF" w:themeFill="background1" w:themeFillShade="BF"/>
            <w:vAlign w:val="center"/>
          </w:tcPr>
          <w:p w:rsidR="00301DF9" w:rsidRPr="000925F6" w:rsidRDefault="005E1E4D" w:rsidP="000925F6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</w:rPr>
              <w:t xml:space="preserve">How was the JPR satisfied by the Course for which Equivalency is Requested?  </w:t>
            </w:r>
          </w:p>
        </w:tc>
      </w:tr>
      <w:tr w:rsidR="005816EE" w:rsidRPr="0095477A" w:rsidTr="003D15E2">
        <w:trPr>
          <w:jc w:val="center"/>
        </w:trPr>
        <w:tc>
          <w:tcPr>
            <w:tcW w:w="2605" w:type="dxa"/>
          </w:tcPr>
          <w:p w:rsidR="000E757B" w:rsidRDefault="000E757B" w:rsidP="00D00560">
            <w:pPr>
              <w:autoSpaceDE w:val="0"/>
              <w:autoSpaceDN w:val="0"/>
              <w:adjustRightInd w:val="0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NFPA 1021</w:t>
            </w:r>
          </w:p>
          <w:p w:rsidR="000E757B" w:rsidRDefault="000E757B" w:rsidP="00D00560">
            <w:pPr>
              <w:autoSpaceDE w:val="0"/>
              <w:autoSpaceDN w:val="0"/>
              <w:adjustRightInd w:val="0"/>
              <w:rPr>
                <w:b/>
                <w:noProof/>
                <w:sz w:val="24"/>
                <w:szCs w:val="24"/>
              </w:rPr>
            </w:pPr>
          </w:p>
          <w:p w:rsidR="005816EE" w:rsidRPr="0095477A" w:rsidRDefault="000E757B" w:rsidP="00D00560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  <w:r w:rsidRPr="001A0AC4">
              <w:rPr>
                <w:b/>
                <w:noProof/>
                <w:sz w:val="24"/>
                <w:szCs w:val="24"/>
              </w:rPr>
              <w:t>7.2 Human Resource Management</w:t>
            </w:r>
          </w:p>
        </w:tc>
        <w:tc>
          <w:tcPr>
            <w:tcW w:w="3960" w:type="dxa"/>
          </w:tcPr>
          <w:p w:rsidR="005816EE" w:rsidRPr="0095477A" w:rsidRDefault="000E757B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80D17">
              <w:rPr>
                <w:b/>
                <w:bCs/>
                <w:sz w:val="24"/>
                <w:szCs w:val="24"/>
              </w:rPr>
              <w:t xml:space="preserve">7.2.1 </w:t>
            </w:r>
            <w:r w:rsidRPr="00980D17">
              <w:rPr>
                <w:sz w:val="24"/>
                <w:szCs w:val="24"/>
              </w:rPr>
              <w:t>Appraise the department’s human resource demographics,</w:t>
            </w:r>
            <w:r>
              <w:rPr>
                <w:sz w:val="24"/>
                <w:szCs w:val="24"/>
              </w:rPr>
              <w:t xml:space="preserve"> </w:t>
            </w:r>
            <w:r w:rsidRPr="00980D17">
              <w:rPr>
                <w:sz w:val="24"/>
                <w:szCs w:val="24"/>
              </w:rPr>
              <w:t>given appropriate community demographic data, so that the</w:t>
            </w:r>
            <w:r>
              <w:rPr>
                <w:sz w:val="24"/>
                <w:szCs w:val="24"/>
              </w:rPr>
              <w:t xml:space="preserve"> </w:t>
            </w:r>
            <w:r w:rsidRPr="00980D17">
              <w:rPr>
                <w:sz w:val="24"/>
                <w:szCs w:val="24"/>
              </w:rPr>
              <w:t>recruitment, selection, and placement of human resources is effective</w:t>
            </w:r>
            <w:r>
              <w:rPr>
                <w:sz w:val="24"/>
                <w:szCs w:val="24"/>
              </w:rPr>
              <w:t xml:space="preserve"> </w:t>
            </w:r>
            <w:r w:rsidRPr="00980D17">
              <w:rPr>
                <w:sz w:val="24"/>
                <w:szCs w:val="24"/>
              </w:rPr>
              <w:t>and consistent with law and current best practices.</w:t>
            </w:r>
          </w:p>
        </w:tc>
        <w:tc>
          <w:tcPr>
            <w:tcW w:w="2785" w:type="dxa"/>
          </w:tcPr>
          <w:p w:rsidR="005816EE" w:rsidRPr="0095477A" w:rsidRDefault="005816EE" w:rsidP="005816EE">
            <w:pPr>
              <w:rPr>
                <w:noProof/>
                <w:sz w:val="24"/>
                <w:szCs w:val="24"/>
              </w:rPr>
            </w:pPr>
          </w:p>
        </w:tc>
      </w:tr>
      <w:tr w:rsidR="005816EE" w:rsidRPr="0095477A" w:rsidTr="003D15E2">
        <w:trPr>
          <w:jc w:val="center"/>
        </w:trPr>
        <w:tc>
          <w:tcPr>
            <w:tcW w:w="2605" w:type="dxa"/>
          </w:tcPr>
          <w:p w:rsidR="005816EE" w:rsidRPr="0095477A" w:rsidRDefault="005816EE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:rsidR="005816EE" w:rsidRPr="005816EE" w:rsidRDefault="000E757B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80D17">
              <w:rPr>
                <w:b/>
                <w:bCs/>
                <w:sz w:val="24"/>
                <w:szCs w:val="24"/>
              </w:rPr>
              <w:t xml:space="preserve">7.2.2 </w:t>
            </w:r>
            <w:r w:rsidRPr="00980D17">
              <w:rPr>
                <w:sz w:val="24"/>
                <w:szCs w:val="24"/>
              </w:rPr>
              <w:t>Initiate the development of a program, given current</w:t>
            </w:r>
            <w:r>
              <w:rPr>
                <w:sz w:val="24"/>
                <w:szCs w:val="24"/>
              </w:rPr>
              <w:t xml:space="preserve"> </w:t>
            </w:r>
            <w:r w:rsidRPr="00980D17">
              <w:rPr>
                <w:sz w:val="24"/>
                <w:szCs w:val="24"/>
              </w:rPr>
              <w:t>member/management relations, so that a positive and participative</w:t>
            </w:r>
            <w:r>
              <w:rPr>
                <w:sz w:val="24"/>
                <w:szCs w:val="24"/>
              </w:rPr>
              <w:t xml:space="preserve"> </w:t>
            </w:r>
            <w:r w:rsidRPr="00980D17">
              <w:rPr>
                <w:sz w:val="24"/>
                <w:szCs w:val="24"/>
              </w:rPr>
              <w:t>member/management program exists.</w:t>
            </w:r>
          </w:p>
        </w:tc>
        <w:tc>
          <w:tcPr>
            <w:tcW w:w="2785" w:type="dxa"/>
          </w:tcPr>
          <w:p w:rsidR="005816EE" w:rsidRDefault="005816EE" w:rsidP="005816EE">
            <w:pPr>
              <w:rPr>
                <w:noProof/>
                <w:sz w:val="24"/>
                <w:szCs w:val="24"/>
              </w:rPr>
            </w:pPr>
          </w:p>
        </w:tc>
      </w:tr>
      <w:tr w:rsidR="000E757B" w:rsidRPr="0095477A" w:rsidTr="003D15E2">
        <w:trPr>
          <w:jc w:val="center"/>
        </w:trPr>
        <w:tc>
          <w:tcPr>
            <w:tcW w:w="2605" w:type="dxa"/>
          </w:tcPr>
          <w:p w:rsidR="000E757B" w:rsidRPr="0095477A" w:rsidRDefault="000E757B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:rsidR="000E757B" w:rsidRPr="005816EE" w:rsidRDefault="000E757B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80D17">
              <w:rPr>
                <w:b/>
                <w:bCs/>
                <w:sz w:val="24"/>
                <w:szCs w:val="24"/>
              </w:rPr>
              <w:t xml:space="preserve">7.2.3 </w:t>
            </w:r>
            <w:r w:rsidRPr="00980D17">
              <w:rPr>
                <w:sz w:val="24"/>
                <w:szCs w:val="24"/>
              </w:rPr>
              <w:t>Establish and evaluate a list of education and in-service</w:t>
            </w:r>
            <w:r>
              <w:rPr>
                <w:sz w:val="24"/>
                <w:szCs w:val="24"/>
              </w:rPr>
              <w:t xml:space="preserve"> </w:t>
            </w:r>
            <w:r w:rsidRPr="00980D17">
              <w:rPr>
                <w:sz w:val="24"/>
                <w:szCs w:val="24"/>
              </w:rPr>
              <w:t>training go</w:t>
            </w:r>
            <w:r>
              <w:rPr>
                <w:sz w:val="24"/>
                <w:szCs w:val="24"/>
              </w:rPr>
              <w:t>als, given a summary of the job r</w:t>
            </w:r>
            <w:r w:rsidRPr="00980D17">
              <w:rPr>
                <w:sz w:val="24"/>
                <w:szCs w:val="24"/>
              </w:rPr>
              <w:t>equirements for all</w:t>
            </w:r>
            <w:r>
              <w:rPr>
                <w:sz w:val="24"/>
                <w:szCs w:val="24"/>
              </w:rPr>
              <w:t xml:space="preserve"> </w:t>
            </w:r>
            <w:r w:rsidRPr="00980D17">
              <w:rPr>
                <w:sz w:val="24"/>
                <w:szCs w:val="24"/>
              </w:rPr>
              <w:t>positions within the department, so that all members can</w:t>
            </w:r>
            <w:r>
              <w:rPr>
                <w:sz w:val="24"/>
                <w:szCs w:val="24"/>
              </w:rPr>
              <w:t xml:space="preserve"> </w:t>
            </w:r>
            <w:r w:rsidRPr="00980D17">
              <w:rPr>
                <w:sz w:val="24"/>
                <w:szCs w:val="24"/>
              </w:rPr>
              <w:t>achieve and maintain required proficiencies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785" w:type="dxa"/>
          </w:tcPr>
          <w:p w:rsidR="000E757B" w:rsidRDefault="000E757B" w:rsidP="005816EE">
            <w:pPr>
              <w:rPr>
                <w:noProof/>
                <w:sz w:val="24"/>
                <w:szCs w:val="24"/>
              </w:rPr>
            </w:pPr>
          </w:p>
        </w:tc>
      </w:tr>
      <w:tr w:rsidR="000E757B" w:rsidRPr="0095477A" w:rsidTr="003D15E2">
        <w:trPr>
          <w:jc w:val="center"/>
        </w:trPr>
        <w:tc>
          <w:tcPr>
            <w:tcW w:w="2605" w:type="dxa"/>
          </w:tcPr>
          <w:p w:rsidR="000E757B" w:rsidRPr="0095477A" w:rsidRDefault="000E757B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:rsidR="000E757B" w:rsidRPr="005816EE" w:rsidRDefault="000E757B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80D17">
              <w:rPr>
                <w:b/>
                <w:bCs/>
                <w:sz w:val="24"/>
                <w:szCs w:val="24"/>
              </w:rPr>
              <w:t xml:space="preserve">7.2.4 </w:t>
            </w:r>
            <w:r w:rsidRPr="00980D17">
              <w:rPr>
                <w:sz w:val="24"/>
                <w:szCs w:val="24"/>
              </w:rPr>
              <w:t>Appraise a member-assistance program, given data, so</w:t>
            </w:r>
            <w:r>
              <w:rPr>
                <w:sz w:val="24"/>
                <w:szCs w:val="24"/>
              </w:rPr>
              <w:t xml:space="preserve"> </w:t>
            </w:r>
            <w:r w:rsidRPr="00980D17">
              <w:rPr>
                <w:sz w:val="24"/>
                <w:szCs w:val="24"/>
              </w:rPr>
              <w:t>that the program, when used, produces stated program outcomes.</w:t>
            </w:r>
          </w:p>
        </w:tc>
        <w:tc>
          <w:tcPr>
            <w:tcW w:w="2785" w:type="dxa"/>
          </w:tcPr>
          <w:p w:rsidR="000E757B" w:rsidRDefault="000E757B" w:rsidP="005816EE">
            <w:pPr>
              <w:rPr>
                <w:noProof/>
                <w:sz w:val="24"/>
                <w:szCs w:val="24"/>
              </w:rPr>
            </w:pPr>
          </w:p>
        </w:tc>
      </w:tr>
      <w:tr w:rsidR="000E757B" w:rsidRPr="0095477A" w:rsidTr="003D15E2">
        <w:trPr>
          <w:jc w:val="center"/>
        </w:trPr>
        <w:tc>
          <w:tcPr>
            <w:tcW w:w="2605" w:type="dxa"/>
          </w:tcPr>
          <w:p w:rsidR="000E757B" w:rsidRPr="0095477A" w:rsidRDefault="000E757B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:rsidR="000E757B" w:rsidRPr="005816EE" w:rsidRDefault="000E757B" w:rsidP="005816E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80D17">
              <w:rPr>
                <w:b/>
                <w:bCs/>
                <w:sz w:val="24"/>
                <w:szCs w:val="24"/>
              </w:rPr>
              <w:t xml:space="preserve">7.2.5 </w:t>
            </w:r>
            <w:r w:rsidRPr="00980D17">
              <w:rPr>
                <w:sz w:val="24"/>
                <w:szCs w:val="24"/>
              </w:rPr>
              <w:t>Evaluate an incentive program, given data, so that a</w:t>
            </w:r>
            <w:r>
              <w:rPr>
                <w:sz w:val="24"/>
                <w:szCs w:val="24"/>
              </w:rPr>
              <w:t xml:space="preserve"> </w:t>
            </w:r>
            <w:r w:rsidRPr="00980D17">
              <w:rPr>
                <w:sz w:val="24"/>
                <w:szCs w:val="24"/>
              </w:rPr>
              <w:t>determination is made regarding achievement of the desired</w:t>
            </w:r>
            <w:r>
              <w:rPr>
                <w:sz w:val="24"/>
                <w:szCs w:val="24"/>
              </w:rPr>
              <w:t xml:space="preserve"> </w:t>
            </w:r>
            <w:r w:rsidRPr="00980D17">
              <w:rPr>
                <w:sz w:val="24"/>
                <w:szCs w:val="24"/>
              </w:rPr>
              <w:t>results.</w:t>
            </w:r>
          </w:p>
        </w:tc>
        <w:tc>
          <w:tcPr>
            <w:tcW w:w="2785" w:type="dxa"/>
          </w:tcPr>
          <w:p w:rsidR="000E757B" w:rsidRDefault="000E757B" w:rsidP="005816EE">
            <w:pPr>
              <w:rPr>
                <w:noProof/>
                <w:sz w:val="24"/>
                <w:szCs w:val="24"/>
              </w:rPr>
            </w:pPr>
          </w:p>
        </w:tc>
      </w:tr>
      <w:tr w:rsidR="000E757B" w:rsidRPr="0095477A" w:rsidTr="003D15E2">
        <w:trPr>
          <w:jc w:val="center"/>
        </w:trPr>
        <w:tc>
          <w:tcPr>
            <w:tcW w:w="2605" w:type="dxa"/>
          </w:tcPr>
          <w:p w:rsidR="000E757B" w:rsidRDefault="000E757B" w:rsidP="000E757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NFPA 1021</w:t>
            </w:r>
          </w:p>
          <w:p w:rsidR="000E757B" w:rsidRDefault="000E757B" w:rsidP="000E757B">
            <w:pPr>
              <w:rPr>
                <w:b/>
                <w:bCs/>
                <w:sz w:val="24"/>
                <w:szCs w:val="24"/>
              </w:rPr>
            </w:pPr>
          </w:p>
          <w:p w:rsidR="000E757B" w:rsidRDefault="000E757B" w:rsidP="000E757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7.7 Health and Safety</w:t>
            </w:r>
          </w:p>
          <w:p w:rsidR="000E757B" w:rsidRPr="0095477A" w:rsidRDefault="000E757B" w:rsidP="005816EE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:rsidR="000E757B" w:rsidRPr="005816EE" w:rsidRDefault="000E757B" w:rsidP="000E75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F2E55">
              <w:rPr>
                <w:b/>
                <w:bCs/>
                <w:sz w:val="24"/>
                <w:szCs w:val="24"/>
              </w:rPr>
              <w:t xml:space="preserve">7.7.1 </w:t>
            </w:r>
            <w:r w:rsidRPr="004F2E55">
              <w:rPr>
                <w:sz w:val="24"/>
                <w:szCs w:val="24"/>
              </w:rPr>
              <w:t>Maintain, develop, and provide leadership for a risk</w:t>
            </w:r>
            <w:r>
              <w:rPr>
                <w:sz w:val="24"/>
                <w:szCs w:val="24"/>
              </w:rPr>
              <w:t xml:space="preserve"> </w:t>
            </w:r>
            <w:r w:rsidRPr="004F2E55">
              <w:rPr>
                <w:sz w:val="24"/>
                <w:szCs w:val="24"/>
              </w:rPr>
              <w:t>management program, given specific</w:t>
            </w:r>
            <w:r>
              <w:rPr>
                <w:sz w:val="24"/>
                <w:szCs w:val="24"/>
              </w:rPr>
              <w:t xml:space="preserve"> </w:t>
            </w:r>
            <w:r w:rsidRPr="004F2E55">
              <w:rPr>
                <w:sz w:val="24"/>
                <w:szCs w:val="24"/>
              </w:rPr>
              <w:t>data, so that injuries and</w:t>
            </w:r>
            <w:r>
              <w:rPr>
                <w:sz w:val="24"/>
                <w:szCs w:val="24"/>
              </w:rPr>
              <w:t xml:space="preserve"> </w:t>
            </w:r>
            <w:r w:rsidRPr="004F2E55">
              <w:rPr>
                <w:sz w:val="24"/>
                <w:szCs w:val="24"/>
              </w:rPr>
              <w:t>property damage accidents are reduced.</w:t>
            </w:r>
          </w:p>
        </w:tc>
        <w:tc>
          <w:tcPr>
            <w:tcW w:w="2785" w:type="dxa"/>
          </w:tcPr>
          <w:p w:rsidR="000E757B" w:rsidRDefault="000E757B" w:rsidP="005816EE">
            <w:pPr>
              <w:rPr>
                <w:noProof/>
                <w:sz w:val="24"/>
                <w:szCs w:val="24"/>
              </w:rPr>
            </w:pPr>
          </w:p>
        </w:tc>
      </w:tr>
      <w:tr w:rsidR="000E757B" w:rsidRPr="000925F6" w:rsidTr="000E757B">
        <w:tblPrEx>
          <w:jc w:val="left"/>
        </w:tblPrEx>
        <w:tc>
          <w:tcPr>
            <w:tcW w:w="2605" w:type="dxa"/>
          </w:tcPr>
          <w:p w:rsidR="00537EEF" w:rsidRDefault="00537EEF" w:rsidP="00A423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NFPA 1037</w:t>
            </w:r>
          </w:p>
          <w:p w:rsidR="00537EEF" w:rsidRDefault="00537EEF" w:rsidP="00A423D0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0E757B" w:rsidRPr="0095477A" w:rsidRDefault="000E757B" w:rsidP="00A423D0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>5.5 Professional Development.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 w:rsidRPr="00782BD2">
              <w:rPr>
                <w:sz w:val="24"/>
                <w:szCs w:val="24"/>
              </w:rPr>
              <w:t>This duty involves the ecommendation,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creation, and evaluation of jurisdictional requirements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for professional development, according to the job performance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requirements in 5.5.2 through 5.5.6.</w:t>
            </w:r>
          </w:p>
        </w:tc>
        <w:tc>
          <w:tcPr>
            <w:tcW w:w="3960" w:type="dxa"/>
          </w:tcPr>
          <w:p w:rsidR="000E757B" w:rsidRPr="00782BD2" w:rsidRDefault="000E757B" w:rsidP="000E757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5.5.1 General Requisite Knowledge. </w:t>
            </w:r>
            <w:r w:rsidRPr="00782BD2">
              <w:rPr>
                <w:sz w:val="24"/>
                <w:szCs w:val="24"/>
              </w:rPr>
              <w:t>Training and professional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development principles, guides, and standards.</w:t>
            </w:r>
          </w:p>
          <w:p w:rsidR="000E757B" w:rsidRPr="0095477A" w:rsidRDefault="000E757B" w:rsidP="00A423D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785" w:type="dxa"/>
          </w:tcPr>
          <w:p w:rsidR="000E757B" w:rsidRPr="000925F6" w:rsidRDefault="000E757B" w:rsidP="00A423D0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</w:tr>
      <w:tr w:rsidR="000E757B" w:rsidRPr="0095477A" w:rsidTr="000E757B">
        <w:tblPrEx>
          <w:jc w:val="left"/>
        </w:tblPrEx>
        <w:tc>
          <w:tcPr>
            <w:tcW w:w="2605" w:type="dxa"/>
          </w:tcPr>
          <w:p w:rsidR="000E757B" w:rsidRPr="0095477A" w:rsidRDefault="000E757B" w:rsidP="00A423D0">
            <w:pPr>
              <w:autoSpaceDE w:val="0"/>
              <w:autoSpaceDN w:val="0"/>
              <w:adjustRightInd w:val="0"/>
              <w:rPr>
                <w:noProof/>
                <w:sz w:val="24"/>
                <w:szCs w:val="24"/>
              </w:rPr>
            </w:pPr>
          </w:p>
        </w:tc>
        <w:tc>
          <w:tcPr>
            <w:tcW w:w="3960" w:type="dxa"/>
          </w:tcPr>
          <w:p w:rsidR="000E757B" w:rsidRPr="0095477A" w:rsidRDefault="000E757B" w:rsidP="00A423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5.5.2 </w:t>
            </w:r>
            <w:r w:rsidRPr="00782BD2">
              <w:rPr>
                <w:sz w:val="24"/>
                <w:szCs w:val="24"/>
              </w:rPr>
              <w:t>Evaluate organization and individual professional development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needs, given organizational goals, objectives, and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jurisdictional requirements, so that professional development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needs are identified and prioritized.</w:t>
            </w:r>
          </w:p>
        </w:tc>
        <w:tc>
          <w:tcPr>
            <w:tcW w:w="2785" w:type="dxa"/>
          </w:tcPr>
          <w:p w:rsidR="000E757B" w:rsidRPr="0095477A" w:rsidRDefault="000E757B" w:rsidP="00A423D0">
            <w:pPr>
              <w:rPr>
                <w:noProof/>
                <w:sz w:val="24"/>
                <w:szCs w:val="24"/>
              </w:rPr>
            </w:pPr>
          </w:p>
        </w:tc>
      </w:tr>
      <w:tr w:rsidR="000E757B" w:rsidTr="000E757B">
        <w:tblPrEx>
          <w:jc w:val="left"/>
        </w:tblPrEx>
        <w:tc>
          <w:tcPr>
            <w:tcW w:w="2605" w:type="dxa"/>
          </w:tcPr>
          <w:p w:rsidR="000E757B" w:rsidRPr="0095477A" w:rsidRDefault="000E757B" w:rsidP="00A423D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:rsidR="000E757B" w:rsidRPr="005816EE" w:rsidRDefault="000E757B" w:rsidP="00A423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5.5.3 </w:t>
            </w:r>
            <w:r w:rsidRPr="00782BD2">
              <w:rPr>
                <w:sz w:val="24"/>
                <w:szCs w:val="24"/>
              </w:rPr>
              <w:t>Prescribe professional development programs, given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the results of a professional development needs analysis, so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that the knowledge and skills are job-related, training is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performance-based, adult learning principles are used, and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the program meets organizational goals and requirements.</w:t>
            </w:r>
          </w:p>
        </w:tc>
        <w:tc>
          <w:tcPr>
            <w:tcW w:w="2785" w:type="dxa"/>
          </w:tcPr>
          <w:p w:rsidR="000E757B" w:rsidRDefault="000E757B" w:rsidP="00A423D0">
            <w:pPr>
              <w:rPr>
                <w:noProof/>
                <w:sz w:val="24"/>
                <w:szCs w:val="24"/>
              </w:rPr>
            </w:pPr>
          </w:p>
        </w:tc>
      </w:tr>
      <w:tr w:rsidR="000E757B" w:rsidTr="000E757B">
        <w:tblPrEx>
          <w:jc w:val="left"/>
        </w:tblPrEx>
        <w:tc>
          <w:tcPr>
            <w:tcW w:w="2605" w:type="dxa"/>
          </w:tcPr>
          <w:p w:rsidR="000E757B" w:rsidRPr="0095477A" w:rsidRDefault="000E757B" w:rsidP="00A423D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:rsidR="000E757B" w:rsidRPr="005816EE" w:rsidRDefault="000E757B" w:rsidP="00A423D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5.5.4 </w:t>
            </w:r>
            <w:r w:rsidRPr="00782BD2">
              <w:rPr>
                <w:sz w:val="24"/>
                <w:szCs w:val="24"/>
              </w:rPr>
              <w:t>Implement professional development programs, given selected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options and available resources, so that professional development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 xml:space="preserve">programs meet </w:t>
            </w:r>
            <w:r w:rsidRPr="00782BD2">
              <w:rPr>
                <w:sz w:val="24"/>
                <w:szCs w:val="24"/>
              </w:rPr>
              <w:lastRenderedPageBreak/>
              <w:t>organizational goals and objectives.</w:t>
            </w:r>
          </w:p>
        </w:tc>
        <w:tc>
          <w:tcPr>
            <w:tcW w:w="2785" w:type="dxa"/>
          </w:tcPr>
          <w:p w:rsidR="000E757B" w:rsidRDefault="000E757B" w:rsidP="00A423D0">
            <w:pPr>
              <w:rPr>
                <w:noProof/>
                <w:sz w:val="24"/>
                <w:szCs w:val="24"/>
              </w:rPr>
            </w:pPr>
          </w:p>
        </w:tc>
      </w:tr>
      <w:tr w:rsidR="00222011" w:rsidTr="000E757B">
        <w:tblPrEx>
          <w:jc w:val="left"/>
        </w:tblPrEx>
        <w:tc>
          <w:tcPr>
            <w:tcW w:w="2605" w:type="dxa"/>
          </w:tcPr>
          <w:p w:rsidR="00222011" w:rsidRPr="0095477A" w:rsidRDefault="00222011" w:rsidP="00A423D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:rsidR="00222011" w:rsidRPr="00782BD2" w:rsidRDefault="00222011" w:rsidP="000E757B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5.5.5 </w:t>
            </w:r>
            <w:r w:rsidRPr="00782BD2">
              <w:rPr>
                <w:sz w:val="24"/>
                <w:szCs w:val="24"/>
              </w:rPr>
              <w:t>Evaluate organizational professional development programs,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 xml:space="preserve">given organizational goals and objectives, so that </w:t>
            </w:r>
            <w:r>
              <w:rPr>
                <w:sz w:val="24"/>
                <w:szCs w:val="24"/>
              </w:rPr>
              <w:t>p</w:t>
            </w:r>
            <w:r w:rsidRPr="00782BD2">
              <w:rPr>
                <w:sz w:val="24"/>
                <w:szCs w:val="24"/>
              </w:rPr>
              <w:t>rofessional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development meets organizational goals and objectives.</w:t>
            </w:r>
          </w:p>
        </w:tc>
        <w:tc>
          <w:tcPr>
            <w:tcW w:w="2785" w:type="dxa"/>
          </w:tcPr>
          <w:p w:rsidR="00222011" w:rsidRDefault="00222011" w:rsidP="00A423D0">
            <w:pPr>
              <w:rPr>
                <w:noProof/>
                <w:sz w:val="24"/>
                <w:szCs w:val="24"/>
              </w:rPr>
            </w:pPr>
          </w:p>
        </w:tc>
      </w:tr>
      <w:tr w:rsidR="000E757B" w:rsidTr="000E757B">
        <w:tblPrEx>
          <w:jc w:val="left"/>
        </w:tblPrEx>
        <w:tc>
          <w:tcPr>
            <w:tcW w:w="2605" w:type="dxa"/>
          </w:tcPr>
          <w:p w:rsidR="000E757B" w:rsidRPr="0095477A" w:rsidRDefault="000E757B" w:rsidP="00A423D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60" w:type="dxa"/>
          </w:tcPr>
          <w:p w:rsidR="000E757B" w:rsidRPr="000E757B" w:rsidRDefault="000E757B" w:rsidP="00A423D0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 w:rsidRPr="00782BD2">
              <w:rPr>
                <w:b/>
                <w:bCs/>
                <w:sz w:val="24"/>
                <w:szCs w:val="24"/>
              </w:rPr>
              <w:t xml:space="preserve">5.5.6 </w:t>
            </w:r>
            <w:r w:rsidRPr="00782BD2">
              <w:rPr>
                <w:sz w:val="24"/>
                <w:szCs w:val="24"/>
              </w:rPr>
              <w:t>Forecast organizational professional development needs,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given professional trends, emerging technologies, and future organizational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goals and objectives, so that future organizational</w:t>
            </w:r>
            <w:r>
              <w:rPr>
                <w:sz w:val="24"/>
                <w:szCs w:val="24"/>
              </w:rPr>
              <w:t xml:space="preserve"> </w:t>
            </w:r>
            <w:r w:rsidRPr="00782BD2">
              <w:rPr>
                <w:sz w:val="24"/>
                <w:szCs w:val="24"/>
              </w:rPr>
              <w:t>and individual professional</w:t>
            </w:r>
            <w:r>
              <w:rPr>
                <w:sz w:val="24"/>
                <w:szCs w:val="24"/>
              </w:rPr>
              <w:t xml:space="preserve"> development needs are planned.</w:t>
            </w:r>
          </w:p>
        </w:tc>
        <w:tc>
          <w:tcPr>
            <w:tcW w:w="2785" w:type="dxa"/>
          </w:tcPr>
          <w:p w:rsidR="000E757B" w:rsidRDefault="000E757B" w:rsidP="00A423D0">
            <w:pPr>
              <w:rPr>
                <w:noProof/>
                <w:sz w:val="24"/>
                <w:szCs w:val="24"/>
              </w:rPr>
            </w:pPr>
          </w:p>
        </w:tc>
      </w:tr>
    </w:tbl>
    <w:p w:rsidR="000E757B" w:rsidRPr="001A0AC4" w:rsidRDefault="000E757B" w:rsidP="000E757B">
      <w:pPr>
        <w:rPr>
          <w:b/>
          <w:noProof/>
          <w:sz w:val="24"/>
          <w:szCs w:val="24"/>
        </w:rPr>
      </w:pPr>
    </w:p>
    <w:p w:rsidR="005728AD" w:rsidRDefault="005728AD"/>
    <w:p w:rsidR="000E757B" w:rsidRPr="00782BD2" w:rsidRDefault="00EA1B08" w:rsidP="000E757B">
      <w:pPr>
        <w:autoSpaceDE w:val="0"/>
        <w:autoSpaceDN w:val="0"/>
        <w:adjustRightInd w:val="0"/>
        <w:rPr>
          <w:sz w:val="24"/>
          <w:szCs w:val="24"/>
        </w:rPr>
      </w:pPr>
      <w:r>
        <w:rPr>
          <w:b/>
          <w:bCs/>
          <w:sz w:val="24"/>
          <w:szCs w:val="24"/>
        </w:rPr>
        <w:br w:type="textWrapping" w:clear="all"/>
      </w:r>
    </w:p>
    <w:p w:rsidR="00403D5D" w:rsidRDefault="00403D5D" w:rsidP="00403D5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03D5D" w:rsidRDefault="00403D5D" w:rsidP="00403D5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03D5D" w:rsidRDefault="00403D5D" w:rsidP="00403D5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403D5D" w:rsidRPr="0095477A" w:rsidRDefault="00403D5D" w:rsidP="00301DF9">
      <w:pPr>
        <w:rPr>
          <w:b/>
          <w:noProof/>
          <w:sz w:val="24"/>
          <w:szCs w:val="24"/>
        </w:rPr>
      </w:pPr>
    </w:p>
    <w:p w:rsidR="0006136C" w:rsidRDefault="005748EA"/>
    <w:sectPr w:rsidR="0006136C" w:rsidSect="00D90DDE">
      <w:headerReference w:type="default" r:id="rId9"/>
      <w:footerReference w:type="default" r:id="rId10"/>
      <w:headerReference w:type="first" r:id="rId11"/>
      <w:pgSz w:w="12240" w:h="15840"/>
      <w:pgMar w:top="261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4B3" w:rsidRDefault="004A14B3" w:rsidP="004A14B3">
      <w:r>
        <w:separator/>
      </w:r>
    </w:p>
  </w:endnote>
  <w:endnote w:type="continuationSeparator" w:id="0">
    <w:p w:rsidR="004A14B3" w:rsidRDefault="004A14B3" w:rsidP="004A1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sz w:val="20"/>
        <w:szCs w:val="20"/>
      </w:rPr>
      <w:id w:val="390850578"/>
      <w:docPartObj>
        <w:docPartGallery w:val="Page Numbers (Bottom of Page)"/>
        <w:docPartUnique/>
      </w:docPartObj>
    </w:sdtPr>
    <w:sdtEndPr/>
    <w:sdtContent>
      <w:sdt>
        <w:sdtPr>
          <w:rPr>
            <w:b/>
            <w:sz w:val="20"/>
            <w:szCs w:val="20"/>
          </w:rPr>
          <w:id w:val="1743221063"/>
          <w:docPartObj>
            <w:docPartGallery w:val="Page Numbers (Top of Page)"/>
            <w:docPartUnique/>
          </w:docPartObj>
        </w:sdtPr>
        <w:sdtEndPr/>
        <w:sdtContent>
          <w:p w:rsidR="001B1344" w:rsidRDefault="001B1344" w:rsidP="00D90DDE">
            <w:pPr>
              <w:pStyle w:val="Header"/>
              <w:rPr>
                <w:b/>
                <w:sz w:val="20"/>
                <w:szCs w:val="20"/>
              </w:rPr>
            </w:pPr>
          </w:p>
          <w:p w:rsidR="001B1344" w:rsidRDefault="00D90DDE" w:rsidP="00D90DDE">
            <w:pPr>
              <w:pStyle w:val="Header"/>
              <w:rPr>
                <w:b/>
                <w:sz w:val="20"/>
                <w:szCs w:val="20"/>
              </w:rPr>
            </w:pPr>
            <w:r w:rsidRPr="001B1344">
              <w:rPr>
                <w:b/>
                <w:sz w:val="20"/>
                <w:szCs w:val="20"/>
              </w:rPr>
              <w:t>Worksheet: B</w:t>
            </w:r>
            <w:r w:rsidR="006D45DC">
              <w:rPr>
                <w:b/>
                <w:sz w:val="20"/>
                <w:szCs w:val="20"/>
              </w:rPr>
              <w:t>FST4045</w:t>
            </w:r>
            <w:r w:rsidR="000E757B">
              <w:rPr>
                <w:b/>
                <w:sz w:val="20"/>
                <w:szCs w:val="20"/>
              </w:rPr>
              <w:t xml:space="preserve"> Personnel Management for the Fire Service </w:t>
            </w:r>
            <w:r w:rsidRPr="001B1344">
              <w:rPr>
                <w:b/>
                <w:sz w:val="20"/>
                <w:szCs w:val="20"/>
              </w:rPr>
              <w:tab/>
            </w:r>
            <w:r w:rsidR="001B1344">
              <w:rPr>
                <w:b/>
                <w:sz w:val="20"/>
                <w:szCs w:val="20"/>
              </w:rPr>
              <w:tab/>
            </w:r>
          </w:p>
          <w:p w:rsidR="00D90DDE" w:rsidRPr="001B1344" w:rsidRDefault="001B1344" w:rsidP="00D90DDE">
            <w:pPr>
              <w:pStyle w:val="Head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 w:rsidR="00D90DDE" w:rsidRPr="001B1344">
              <w:rPr>
                <w:b/>
                <w:sz w:val="20"/>
                <w:szCs w:val="20"/>
              </w:rPr>
              <w:t xml:space="preserve">Page 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begin"/>
            </w:r>
            <w:r w:rsidR="00D90DDE" w:rsidRPr="001B1344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separate"/>
            </w:r>
            <w:r w:rsidR="005748EA">
              <w:rPr>
                <w:b/>
                <w:bCs/>
                <w:noProof/>
                <w:sz w:val="20"/>
                <w:szCs w:val="20"/>
              </w:rPr>
              <w:t>2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end"/>
            </w:r>
            <w:r w:rsidR="00D90DDE" w:rsidRPr="001B1344">
              <w:rPr>
                <w:b/>
                <w:sz w:val="20"/>
                <w:szCs w:val="20"/>
              </w:rPr>
              <w:t xml:space="preserve"> of 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begin"/>
            </w:r>
            <w:r w:rsidR="00D90DDE" w:rsidRPr="001B1344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separate"/>
            </w:r>
            <w:r w:rsidR="005748EA">
              <w:rPr>
                <w:b/>
                <w:bCs/>
                <w:noProof/>
                <w:sz w:val="20"/>
                <w:szCs w:val="20"/>
              </w:rPr>
              <w:t>4</w:t>
            </w:r>
            <w:r w:rsidR="00D90DDE" w:rsidRPr="001B134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4B3" w:rsidRDefault="004A14B3" w:rsidP="004A14B3">
      <w:r>
        <w:separator/>
      </w:r>
    </w:p>
  </w:footnote>
  <w:footnote w:type="continuationSeparator" w:id="0">
    <w:p w:rsidR="004A14B3" w:rsidRDefault="004A14B3" w:rsidP="004A1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D8B" w:rsidRPr="00635D8B" w:rsidRDefault="007A54CA" w:rsidP="00635D8B">
    <w:pPr>
      <w:pStyle w:val="Default"/>
      <w:jc w:val="right"/>
      <w:rPr>
        <w:bCs/>
        <w:sz w:val="20"/>
        <w:szCs w:val="20"/>
      </w:rPr>
    </w:pPr>
    <w:r>
      <w:rPr>
        <w:noProof/>
        <w:color w:val="auto"/>
        <w:sz w:val="22"/>
        <w:szCs w:val="22"/>
      </w:rPr>
      <w:drawing>
        <wp:anchor distT="0" distB="0" distL="114300" distR="114300" simplePos="0" relativeHeight="251665408" behindDoc="0" locked="0" layoutInCell="1" allowOverlap="1" wp14:anchorId="66FEB805" wp14:editId="54E67B52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822960" cy="914400"/>
          <wp:effectExtent l="0" t="0" r="0" b="0"/>
          <wp:wrapNone/>
          <wp:docPr id="48" name="Picture 48" descr="SFM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M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296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35D8B">
      <w:rPr>
        <w:bCs/>
        <w:sz w:val="20"/>
        <w:szCs w:val="20"/>
      </w:rPr>
      <w:t xml:space="preserve">Revised: </w:t>
    </w:r>
    <w:r w:rsidR="00635D8B" w:rsidRPr="00635D8B">
      <w:rPr>
        <w:bCs/>
        <w:sz w:val="20"/>
        <w:szCs w:val="20"/>
      </w:rPr>
      <w:fldChar w:fldCharType="begin"/>
    </w:r>
    <w:r w:rsidR="00635D8B" w:rsidRPr="00635D8B">
      <w:rPr>
        <w:bCs/>
        <w:sz w:val="20"/>
        <w:szCs w:val="20"/>
      </w:rPr>
      <w:instrText xml:space="preserve"> DATE \@ "M/d/yyyy" </w:instrText>
    </w:r>
    <w:r w:rsidR="00635D8B" w:rsidRPr="00635D8B">
      <w:rPr>
        <w:bCs/>
        <w:sz w:val="20"/>
        <w:szCs w:val="20"/>
      </w:rPr>
      <w:fldChar w:fldCharType="separate"/>
    </w:r>
    <w:r w:rsidR="005748EA">
      <w:rPr>
        <w:bCs/>
        <w:noProof/>
        <w:sz w:val="20"/>
        <w:szCs w:val="20"/>
      </w:rPr>
      <w:t>10/2/2017</w:t>
    </w:r>
    <w:r w:rsidR="00635D8B" w:rsidRPr="00635D8B">
      <w:rPr>
        <w:bCs/>
        <w:sz w:val="20"/>
        <w:szCs w:val="20"/>
      </w:rPr>
      <w:fldChar w:fldCharType="end"/>
    </w:r>
  </w:p>
  <w:p w:rsidR="005E1E4D" w:rsidRDefault="005E1E4D" w:rsidP="005E1E4D">
    <w:pPr>
      <w:pStyle w:val="Default"/>
      <w:jc w:val="center"/>
      <w:rPr>
        <w:b/>
        <w:bCs/>
        <w:szCs w:val="32"/>
      </w:rPr>
    </w:pPr>
    <w:r>
      <w:rPr>
        <w:b/>
        <w:bCs/>
        <w:szCs w:val="32"/>
      </w:rPr>
      <w:t xml:space="preserve">Department of Financial Services </w:t>
    </w:r>
  </w:p>
  <w:p w:rsidR="005E1E4D" w:rsidRDefault="00AA0CF4" w:rsidP="005E1E4D">
    <w:pPr>
      <w:pStyle w:val="Default"/>
      <w:jc w:val="center"/>
      <w:rPr>
        <w:b/>
        <w:bCs/>
        <w:szCs w:val="32"/>
      </w:rPr>
    </w:pPr>
    <w:r>
      <w:rPr>
        <w:b/>
        <w:bCs/>
        <w:szCs w:val="32"/>
      </w:rPr>
      <w:t>Division</w:t>
    </w:r>
    <w:r w:rsidR="005E1E4D">
      <w:rPr>
        <w:b/>
        <w:bCs/>
        <w:szCs w:val="32"/>
      </w:rPr>
      <w:t xml:space="preserve"> of State Fire Marshal</w:t>
    </w:r>
  </w:p>
  <w:p w:rsidR="005E1E4D" w:rsidRDefault="005E1E4D" w:rsidP="005E1E4D">
    <w:pPr>
      <w:pStyle w:val="Default"/>
      <w:jc w:val="center"/>
      <w:rPr>
        <w:b/>
        <w:bCs/>
        <w:szCs w:val="32"/>
      </w:rPr>
    </w:pPr>
    <w:r>
      <w:rPr>
        <w:b/>
        <w:bCs/>
        <w:szCs w:val="32"/>
      </w:rPr>
      <w:t>Bureau of Fire Standards and Training</w:t>
    </w:r>
  </w:p>
  <w:p w:rsidR="005E1E4D" w:rsidRDefault="005E1E4D" w:rsidP="005E1E4D">
    <w:pPr>
      <w:pStyle w:val="Default"/>
      <w:jc w:val="center"/>
      <w:rPr>
        <w:b/>
        <w:bCs/>
        <w:szCs w:val="32"/>
      </w:rPr>
    </w:pPr>
  </w:p>
  <w:p w:rsidR="005E1E4D" w:rsidRDefault="005E1E4D" w:rsidP="001B4C0D">
    <w:pPr>
      <w:pStyle w:val="Default"/>
      <w:rPr>
        <w:b/>
        <w:bCs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0CF4" w:rsidRPr="00D90DDE" w:rsidRDefault="007A54CA" w:rsidP="00AA0CF4">
    <w:pPr>
      <w:pStyle w:val="Default"/>
      <w:jc w:val="right"/>
      <w:rPr>
        <w:b/>
        <w:bCs/>
        <w:sz w:val="20"/>
        <w:szCs w:val="20"/>
      </w:rPr>
    </w:pPr>
    <w:r w:rsidRPr="00D90DDE">
      <w:rPr>
        <w:b/>
        <w:noProof/>
        <w:color w:val="auto"/>
        <w:sz w:val="22"/>
        <w:szCs w:val="22"/>
      </w:rPr>
      <w:drawing>
        <wp:anchor distT="0" distB="0" distL="114300" distR="114300" simplePos="0" relativeHeight="251663360" behindDoc="0" locked="0" layoutInCell="1" allowOverlap="1" wp14:anchorId="4AAEFF78" wp14:editId="368B7A62">
          <wp:simplePos x="0" y="0"/>
          <wp:positionH relativeFrom="column">
            <wp:posOffset>-161925</wp:posOffset>
          </wp:positionH>
          <wp:positionV relativeFrom="paragraph">
            <wp:posOffset>-76200</wp:posOffset>
          </wp:positionV>
          <wp:extent cx="822960" cy="914400"/>
          <wp:effectExtent l="0" t="0" r="0" b="0"/>
          <wp:wrapNone/>
          <wp:docPr id="49" name="Picture 7" descr="SFM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FM-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296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0CF4" w:rsidRPr="00D90DDE">
      <w:rPr>
        <w:b/>
        <w:bCs/>
        <w:sz w:val="20"/>
        <w:szCs w:val="20"/>
      </w:rPr>
      <w:t xml:space="preserve">Revised </w:t>
    </w:r>
    <w:r w:rsidR="00AA0CF4" w:rsidRPr="00D90DDE">
      <w:rPr>
        <w:b/>
        <w:bCs/>
        <w:sz w:val="20"/>
        <w:szCs w:val="20"/>
      </w:rPr>
      <w:fldChar w:fldCharType="begin"/>
    </w:r>
    <w:r w:rsidR="00AA0CF4" w:rsidRPr="00D90DDE">
      <w:rPr>
        <w:b/>
        <w:bCs/>
        <w:sz w:val="20"/>
        <w:szCs w:val="20"/>
      </w:rPr>
      <w:instrText xml:space="preserve"> DATE \@ "M/d/yyyy" </w:instrText>
    </w:r>
    <w:r w:rsidR="00AA0CF4" w:rsidRPr="00D90DDE">
      <w:rPr>
        <w:b/>
        <w:bCs/>
        <w:sz w:val="20"/>
        <w:szCs w:val="20"/>
      </w:rPr>
      <w:fldChar w:fldCharType="separate"/>
    </w:r>
    <w:r w:rsidR="005748EA">
      <w:rPr>
        <w:b/>
        <w:bCs/>
        <w:noProof/>
        <w:sz w:val="20"/>
        <w:szCs w:val="20"/>
      </w:rPr>
      <w:t>10/2/2017</w:t>
    </w:r>
    <w:r w:rsidR="00AA0CF4" w:rsidRPr="00D90DDE">
      <w:rPr>
        <w:b/>
        <w:bCs/>
        <w:sz w:val="20"/>
        <w:szCs w:val="20"/>
      </w:rPr>
      <w:fldChar w:fldCharType="end"/>
    </w:r>
  </w:p>
  <w:p w:rsidR="00AA0CF4" w:rsidRPr="00D90DDE" w:rsidRDefault="00AA0CF4" w:rsidP="00AA0CF4">
    <w:pPr>
      <w:pStyle w:val="Default"/>
      <w:jc w:val="center"/>
      <w:rPr>
        <w:b/>
        <w:bCs/>
        <w:szCs w:val="32"/>
      </w:rPr>
    </w:pPr>
    <w:r w:rsidRPr="00D90DDE">
      <w:rPr>
        <w:b/>
        <w:bCs/>
        <w:szCs w:val="32"/>
      </w:rPr>
      <w:t xml:space="preserve">Department of Financial Services </w:t>
    </w:r>
  </w:p>
  <w:p w:rsidR="00AA0CF4" w:rsidRPr="00D90DDE" w:rsidRDefault="00AA0CF4" w:rsidP="00AA0CF4">
    <w:pPr>
      <w:pStyle w:val="Default"/>
      <w:jc w:val="center"/>
      <w:rPr>
        <w:b/>
        <w:bCs/>
        <w:szCs w:val="32"/>
      </w:rPr>
    </w:pPr>
    <w:r w:rsidRPr="00D90DDE">
      <w:rPr>
        <w:b/>
        <w:bCs/>
        <w:szCs w:val="32"/>
      </w:rPr>
      <w:t>Division of State Fire Marshal</w:t>
    </w:r>
  </w:p>
  <w:p w:rsidR="00AA0CF4" w:rsidRPr="00D90DDE" w:rsidRDefault="00AA0CF4" w:rsidP="00AA0CF4">
    <w:pPr>
      <w:pStyle w:val="Default"/>
      <w:jc w:val="center"/>
      <w:rPr>
        <w:b/>
        <w:bCs/>
        <w:szCs w:val="32"/>
      </w:rPr>
    </w:pPr>
    <w:r w:rsidRPr="00D90DDE">
      <w:rPr>
        <w:b/>
        <w:bCs/>
        <w:szCs w:val="32"/>
      </w:rPr>
      <w:t>Bureau of Fire Standards and Training</w:t>
    </w:r>
  </w:p>
  <w:p w:rsidR="00AA0CF4" w:rsidRPr="00D90DDE" w:rsidRDefault="00AA0CF4">
    <w:pPr>
      <w:pStyle w:val="Head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04B3F"/>
    <w:multiLevelType w:val="hybridMultilevel"/>
    <w:tmpl w:val="F66E7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16027"/>
    <w:multiLevelType w:val="hybridMultilevel"/>
    <w:tmpl w:val="8E1AF4F0"/>
    <w:lvl w:ilvl="0" w:tplc="2CA4F4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1DD5536"/>
    <w:multiLevelType w:val="hybridMultilevel"/>
    <w:tmpl w:val="FA5093A8"/>
    <w:lvl w:ilvl="0" w:tplc="5316D3E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CE3F9F"/>
    <w:multiLevelType w:val="hybridMultilevel"/>
    <w:tmpl w:val="020CC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6830CF"/>
    <w:multiLevelType w:val="hybridMultilevel"/>
    <w:tmpl w:val="18722F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79795FF5"/>
    <w:multiLevelType w:val="hybridMultilevel"/>
    <w:tmpl w:val="1F706F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DF9"/>
    <w:rsid w:val="00013C74"/>
    <w:rsid w:val="000925F6"/>
    <w:rsid w:val="000C2729"/>
    <w:rsid w:val="000E757B"/>
    <w:rsid w:val="001777F7"/>
    <w:rsid w:val="001B1344"/>
    <w:rsid w:val="001B4C0D"/>
    <w:rsid w:val="00222011"/>
    <w:rsid w:val="00243815"/>
    <w:rsid w:val="00301DF9"/>
    <w:rsid w:val="003C47FD"/>
    <w:rsid w:val="003D15E2"/>
    <w:rsid w:val="00403D5D"/>
    <w:rsid w:val="004A14B3"/>
    <w:rsid w:val="00537EEF"/>
    <w:rsid w:val="00565735"/>
    <w:rsid w:val="005728AD"/>
    <w:rsid w:val="005748EA"/>
    <w:rsid w:val="005816EE"/>
    <w:rsid w:val="005C5EC9"/>
    <w:rsid w:val="005E1E4D"/>
    <w:rsid w:val="0062303D"/>
    <w:rsid w:val="00635D8B"/>
    <w:rsid w:val="00660C89"/>
    <w:rsid w:val="006B17D0"/>
    <w:rsid w:val="006D45DC"/>
    <w:rsid w:val="00794A54"/>
    <w:rsid w:val="007A54CA"/>
    <w:rsid w:val="0084201A"/>
    <w:rsid w:val="008E22F2"/>
    <w:rsid w:val="00913D92"/>
    <w:rsid w:val="00956285"/>
    <w:rsid w:val="00A5482E"/>
    <w:rsid w:val="00A65F9B"/>
    <w:rsid w:val="00AA0CF4"/>
    <w:rsid w:val="00C61748"/>
    <w:rsid w:val="00C808B2"/>
    <w:rsid w:val="00D00560"/>
    <w:rsid w:val="00D3089D"/>
    <w:rsid w:val="00D90DDE"/>
    <w:rsid w:val="00EA1B08"/>
    <w:rsid w:val="00EE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chartTrackingRefBased/>
  <w15:docId w15:val="{BD549EB0-5885-48A0-AC3E-3B534EDD6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01DF9"/>
    <w:pPr>
      <w:spacing w:after="0" w:line="240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01DF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1DF9"/>
    <w:pPr>
      <w:ind w:left="720"/>
      <w:contextualSpacing/>
    </w:pPr>
  </w:style>
  <w:style w:type="table" w:styleId="TableGrid">
    <w:name w:val="Table Grid"/>
    <w:basedOn w:val="TableNormal"/>
    <w:uiPriority w:val="39"/>
    <w:rsid w:val="0030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14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14B3"/>
    <w:rPr>
      <w:rFonts w:ascii="Arial" w:eastAsia="Times New Roman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A14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4B3"/>
    <w:rPr>
      <w:rFonts w:ascii="Arial" w:eastAsia="Times New Roman" w:hAnsi="Arial" w:cs="Arial"/>
    </w:rPr>
  </w:style>
  <w:style w:type="paragraph" w:customStyle="1" w:styleId="Default">
    <w:name w:val="Default"/>
    <w:rsid w:val="005E1E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D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D8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7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eCollegeTraining@MyFloridaCF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C3525-4B18-469F-899F-37582B17A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3865</Characters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2017-09-26T18:22:00Z</cp:lastPrinted>
  <dcterms:created xsi:type="dcterms:W3CDTF">2017-10-02T15:12:00Z</dcterms:created>
  <dcterms:modified xsi:type="dcterms:W3CDTF">2017-10-02T15:12:00Z</dcterms:modified>
</cp:coreProperties>
</file>