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4D" w:rsidRPr="00635D8B" w:rsidRDefault="00635D8B" w:rsidP="00AA0CF4">
      <w:pPr>
        <w:pStyle w:val="Head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</w:t>
      </w:r>
      <w:r w:rsidR="001B4C0D">
        <w:rPr>
          <w:b/>
          <w:sz w:val="24"/>
          <w:szCs w:val="24"/>
        </w:rPr>
        <w:t xml:space="preserve">          </w:t>
      </w:r>
      <w:r w:rsidR="00AA0CF4">
        <w:rPr>
          <w:b/>
          <w:sz w:val="24"/>
          <w:szCs w:val="24"/>
        </w:rPr>
        <w:t xml:space="preserve">                      </w:t>
      </w:r>
      <w:r w:rsidR="005E1E4D" w:rsidRPr="00635D8B">
        <w:rPr>
          <w:b/>
          <w:sz w:val="24"/>
          <w:szCs w:val="24"/>
        </w:rPr>
        <w:t>Course-to-</w:t>
      </w:r>
      <w:r w:rsidR="0084201A">
        <w:rPr>
          <w:b/>
          <w:sz w:val="24"/>
          <w:szCs w:val="24"/>
        </w:rPr>
        <w:t>Course Equivalency Worksheet</w:t>
      </w:r>
    </w:p>
    <w:p w:rsidR="005E1E4D" w:rsidRDefault="005E1E4D" w:rsidP="005E1E4D">
      <w:pPr>
        <w:pStyle w:val="Header"/>
        <w:jc w:val="center"/>
        <w:rPr>
          <w:b/>
          <w:sz w:val="24"/>
          <w:szCs w:val="24"/>
        </w:rPr>
      </w:pPr>
      <w:r w:rsidRPr="00635D8B">
        <w:rPr>
          <w:b/>
          <w:sz w:val="24"/>
          <w:szCs w:val="24"/>
        </w:rPr>
        <w:t xml:space="preserve">    </w:t>
      </w:r>
      <w:r w:rsidR="00635D8B">
        <w:rPr>
          <w:b/>
          <w:sz w:val="24"/>
          <w:szCs w:val="24"/>
        </w:rPr>
        <w:t xml:space="preserve">   </w:t>
      </w:r>
      <w:r w:rsidRPr="00635D8B">
        <w:rPr>
          <w:b/>
          <w:sz w:val="24"/>
          <w:szCs w:val="24"/>
        </w:rPr>
        <w:t xml:space="preserve"> BFST</w:t>
      </w:r>
      <w:r w:rsidR="009811C1">
        <w:rPr>
          <w:b/>
          <w:sz w:val="24"/>
          <w:szCs w:val="24"/>
        </w:rPr>
        <w:t>4585</w:t>
      </w:r>
      <w:r w:rsidR="005A30BD">
        <w:rPr>
          <w:b/>
          <w:sz w:val="24"/>
          <w:szCs w:val="24"/>
        </w:rPr>
        <w:t xml:space="preserve"> Fire Prevention Organizational Management </w:t>
      </w:r>
    </w:p>
    <w:p w:rsidR="00660C89" w:rsidRDefault="00660C89" w:rsidP="005E1E4D">
      <w:pPr>
        <w:pStyle w:val="Header"/>
        <w:jc w:val="center"/>
        <w:rPr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85"/>
        <w:gridCol w:w="4410"/>
      </w:tblGrid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 xml:space="preserve">Applicant Name: </w:t>
            </w:r>
          </w:p>
        </w:tc>
        <w:tc>
          <w:tcPr>
            <w:tcW w:w="4410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FCDICE Number:</w:t>
            </w:r>
          </w:p>
        </w:tc>
      </w:tr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Email:</w:t>
            </w:r>
          </w:p>
        </w:tc>
        <w:tc>
          <w:tcPr>
            <w:tcW w:w="4410" w:type="dxa"/>
            <w:vAlign w:val="center"/>
          </w:tcPr>
          <w:p w:rsidR="00660C89" w:rsidRPr="00587232" w:rsidRDefault="00D00560" w:rsidP="00726E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Date</w:t>
            </w:r>
            <w:r w:rsidR="00660C89" w:rsidRPr="00587232">
              <w:rPr>
                <w:b/>
              </w:rPr>
              <w:t>:</w:t>
            </w:r>
          </w:p>
        </w:tc>
      </w:tr>
    </w:tbl>
    <w:p w:rsidR="005E1E4D" w:rsidRDefault="005E1E4D" w:rsidP="005E1E4D">
      <w:pPr>
        <w:ind w:left="1440"/>
      </w:pPr>
    </w:p>
    <w:p w:rsidR="005E1E4D" w:rsidRDefault="0084201A">
      <w:pPr>
        <w:spacing w:after="160" w:line="259" w:lineRule="auto"/>
      </w:pPr>
      <w:r>
        <w:t>Applicants who wish to request a Course-to-Course Equivalency shall complete the following worksheet and attach the following information in the order that it appears on this list.</w:t>
      </w:r>
    </w:p>
    <w:p w:rsidR="0084201A" w:rsidRPr="0084201A" w:rsidRDefault="0084201A">
      <w:pPr>
        <w:spacing w:after="160" w:line="259" w:lineRule="auto"/>
        <w:rPr>
          <w:b/>
        </w:rPr>
      </w:pPr>
      <w:r w:rsidRPr="0084201A">
        <w:rPr>
          <w:b/>
        </w:rPr>
        <w:t>Please note that BFST will not evaluate a Course-to-Course Equivalency Request until ALL the required information has been submitted.</w:t>
      </w:r>
    </w:p>
    <w:p w:rsidR="004A14B3" w:rsidRDefault="004A14B3" w:rsidP="004A14B3">
      <w:pPr>
        <w:autoSpaceDE w:val="0"/>
        <w:autoSpaceDN w:val="0"/>
        <w:adjustRightInd w:val="0"/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8100"/>
        <w:gridCol w:w="1800"/>
      </w:tblGrid>
      <w:tr w:rsidR="006B17D0" w:rsidTr="00D90DDE">
        <w:tc>
          <w:tcPr>
            <w:tcW w:w="81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Items Required for a </w:t>
            </w:r>
          </w:p>
          <w:p w:rsidR="006B17D0" w:rsidRPr="001777F7" w:rsidRDefault="006B17D0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Course-To-Course </w:t>
            </w:r>
            <w:r w:rsidR="001777F7" w:rsidRPr="001777F7">
              <w:rPr>
                <w:b/>
              </w:rPr>
              <w:t>Equivalency Determination</w:t>
            </w:r>
          </w:p>
        </w:tc>
        <w:tc>
          <w:tcPr>
            <w:tcW w:w="18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>√ When</w:t>
            </w:r>
          </w:p>
          <w:p w:rsidR="006B17D0" w:rsidRP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1777F7">
              <w:rPr>
                <w:b/>
              </w:rPr>
              <w:t xml:space="preserve">Attached </w:t>
            </w:r>
            <w:r>
              <w:rPr>
                <w:b/>
              </w:rPr>
              <w:t xml:space="preserve"> /</w:t>
            </w:r>
            <w:proofErr w:type="gramEnd"/>
            <w:r>
              <w:rPr>
                <w:b/>
              </w:rPr>
              <w:t xml:space="preserve"> Completed</w:t>
            </w:r>
          </w:p>
        </w:tc>
      </w:tr>
      <w:tr w:rsidR="006B17D0" w:rsidTr="00913D92">
        <w:tc>
          <w:tcPr>
            <w:tcW w:w="8100" w:type="dxa"/>
          </w:tcPr>
          <w:p w:rsidR="001777F7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 xml:space="preserve">Create </w:t>
            </w:r>
            <w:r w:rsidR="001777F7">
              <w:t xml:space="preserve">an email </w:t>
            </w:r>
            <w:r>
              <w:t xml:space="preserve">addressed </w:t>
            </w:r>
            <w:r w:rsidR="001777F7">
              <w:t xml:space="preserve">to </w:t>
            </w:r>
            <w:hyperlink r:id="rId8" w:history="1">
              <w:r w:rsidR="001777F7">
                <w:rPr>
                  <w:rStyle w:val="Hyperlink"/>
                </w:rPr>
                <w:t>FireCollegeTraining@MyFloridaCFO.com</w:t>
              </w:r>
            </w:hyperlink>
            <w:r w:rsidR="001777F7">
              <w:t xml:space="preserve"> 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84201A" w:rsidTr="00913D92">
        <w:tc>
          <w:tcPr>
            <w:tcW w:w="8100" w:type="dxa"/>
          </w:tcPr>
          <w:p w:rsid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</w:pPr>
            <w:r w:rsidRPr="001777F7">
              <w:t xml:space="preserve">Please note that there </w:t>
            </w:r>
            <w:r w:rsidRPr="0084201A">
              <w:rPr>
                <w:rStyle w:val="Hyperlink"/>
                <w:color w:val="auto"/>
                <w:u w:val="none"/>
              </w:rPr>
              <w:t>shall be only one Course-to-Course Equivalency Request per email.   Requests for multiple Course-to-Course Equivalency Evaluations shall each be submitted individually in separate emails.</w:t>
            </w:r>
          </w:p>
        </w:tc>
        <w:tc>
          <w:tcPr>
            <w:tcW w:w="1800" w:type="dxa"/>
          </w:tcPr>
          <w:p w:rsidR="0084201A" w:rsidRDefault="0084201A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>The subject of the email shall be “Course-to-Course Equivalency Request.”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D3089D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Attach a</w:t>
            </w:r>
            <w:r w:rsidR="00D3089D">
              <w:t>n educational syllabus or agenda for the class that includes: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and course number of the course that was completed.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of the institution that sponsored the course.</w:t>
            </w:r>
          </w:p>
          <w:p w:rsidR="00D3089D" w:rsidRDefault="00D3089D" w:rsidP="008420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contact information for the instructor.</w:t>
            </w:r>
          </w:p>
          <w:p w:rsidR="00D3089D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required number of classroom or interactive hours for the course.</w:t>
            </w:r>
          </w:p>
          <w:p w:rsidR="006B17D0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 A description of the course objectives, student learning outcomes, or job performance requirements covered in the course.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a </w:t>
            </w:r>
            <w:r w:rsidR="00D3089D">
              <w:t>verifiable transcript or record from the educational institution that shows proof of successful course completion.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913D92" w:rsidTr="00913D92">
        <w:tc>
          <w:tcPr>
            <w:tcW w:w="8100" w:type="dxa"/>
          </w:tcPr>
          <w:p w:rsidR="00913D92" w:rsidRDefault="005816EE" w:rsidP="00C617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</w:t>
            </w:r>
            <w:r w:rsidR="00C61748">
              <w:t xml:space="preserve">this </w:t>
            </w:r>
            <w:r w:rsidR="0084201A">
              <w:t>completed Course-to-Course Equivalency Worksheet t</w:t>
            </w:r>
            <w:r w:rsidR="00913D92">
              <w:t xml:space="preserve">hat details how each of </w:t>
            </w:r>
            <w:proofErr w:type="gramStart"/>
            <w:r w:rsidR="00913D92">
              <w:t xml:space="preserve">the Job Performance Requirements of the BFST-Approved Course were satisfied by the </w:t>
            </w:r>
            <w:r w:rsidR="0084201A">
              <w:t>course</w:t>
            </w:r>
            <w:proofErr w:type="gramEnd"/>
            <w:r w:rsidR="0084201A">
              <w:t xml:space="preserve"> for which equivalency is being requested.  </w:t>
            </w:r>
          </w:p>
        </w:tc>
        <w:tc>
          <w:tcPr>
            <w:tcW w:w="1800" w:type="dxa"/>
          </w:tcPr>
          <w:p w:rsidR="00913D92" w:rsidRDefault="00913D92" w:rsidP="00301DF9">
            <w:pPr>
              <w:autoSpaceDE w:val="0"/>
              <w:autoSpaceDN w:val="0"/>
              <w:adjustRightInd w:val="0"/>
            </w:pPr>
          </w:p>
        </w:tc>
      </w:tr>
    </w:tbl>
    <w:p w:rsidR="00301DF9" w:rsidRDefault="00301DF9" w:rsidP="00301DF9">
      <w:pPr>
        <w:autoSpaceDE w:val="0"/>
        <w:autoSpaceDN w:val="0"/>
        <w:adjustRightInd w:val="0"/>
        <w:ind w:left="720"/>
      </w:pPr>
    </w:p>
    <w:p w:rsidR="00660C89" w:rsidRDefault="00660C89" w:rsidP="00660C89">
      <w:pPr>
        <w:spacing w:after="160" w:line="259" w:lineRule="auto"/>
      </w:pPr>
    </w:p>
    <w:p w:rsidR="00660C89" w:rsidRPr="00D754D9" w:rsidRDefault="00660C89" w:rsidP="00660C89">
      <w:pPr>
        <w:spacing w:after="160" w:line="259" w:lineRule="auto"/>
        <w:rPr>
          <w:b/>
        </w:rPr>
      </w:pPr>
    </w:p>
    <w:p w:rsidR="00243815" w:rsidRDefault="00243815">
      <w:pPr>
        <w:spacing w:after="160" w:line="259" w:lineRule="auto"/>
      </w:pPr>
    </w:p>
    <w:p w:rsidR="005816EE" w:rsidRDefault="005816EE" w:rsidP="005816EE">
      <w:pPr>
        <w:jc w:val="center"/>
        <w:rPr>
          <w:b/>
          <w:noProof/>
          <w:sz w:val="24"/>
          <w:szCs w:val="24"/>
        </w:rPr>
      </w:pPr>
    </w:p>
    <w:p w:rsidR="00AA0CF4" w:rsidRPr="0095477A" w:rsidRDefault="00AA0CF4" w:rsidP="005816EE">
      <w:pPr>
        <w:jc w:val="center"/>
        <w:rPr>
          <w:b/>
          <w:noProof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301DF9" w:rsidRPr="0095477A" w:rsidTr="003D15E2">
        <w:trPr>
          <w:tblHeader/>
          <w:jc w:val="center"/>
        </w:trPr>
        <w:tc>
          <w:tcPr>
            <w:tcW w:w="2605" w:type="dxa"/>
            <w:shd w:val="clear" w:color="auto" w:fill="BFBFBF" w:themeFill="background1" w:themeFillShade="BF"/>
            <w:vAlign w:val="center"/>
          </w:tcPr>
          <w:p w:rsidR="00301DF9" w:rsidRPr="0095477A" w:rsidRDefault="001B1344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NFPA Standard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301DF9" w:rsidRPr="0095477A" w:rsidRDefault="00301DF9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301DF9" w:rsidRPr="000925F6" w:rsidRDefault="005E1E4D" w:rsidP="000925F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5816EE" w:rsidRPr="0095477A" w:rsidTr="003D15E2">
        <w:trPr>
          <w:jc w:val="center"/>
        </w:trPr>
        <w:tc>
          <w:tcPr>
            <w:tcW w:w="2605" w:type="dxa"/>
          </w:tcPr>
          <w:p w:rsidR="007E1E18" w:rsidRDefault="007E1E18" w:rsidP="007E1E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1037</w:t>
            </w:r>
          </w:p>
          <w:p w:rsidR="007E1E18" w:rsidRDefault="007E1E18" w:rsidP="007E1E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5816EE" w:rsidRPr="0095477A" w:rsidRDefault="007E1E18" w:rsidP="00D00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>5.7 Fire and Life Safety Education.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82BD2">
              <w:rPr>
                <w:sz w:val="24"/>
                <w:szCs w:val="24"/>
              </w:rPr>
              <w:t>This duty involves managing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fire and life safety educational programs.</w:t>
            </w:r>
          </w:p>
        </w:tc>
        <w:tc>
          <w:tcPr>
            <w:tcW w:w="3960" w:type="dxa"/>
          </w:tcPr>
          <w:p w:rsidR="005816EE" w:rsidRPr="0095477A" w:rsidRDefault="007E1E18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5.7.1 General Requisite Knowledge. </w:t>
            </w:r>
            <w:r w:rsidRPr="00782BD2">
              <w:rPr>
                <w:sz w:val="24"/>
                <w:szCs w:val="24"/>
              </w:rPr>
              <w:t>Fire and life safety education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planning and evaluation processes, management of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educational programs, and professional development </w:t>
            </w:r>
            <w:proofErr w:type="spellStart"/>
            <w:proofErr w:type="gramStart"/>
            <w:r w:rsidRPr="00782BD2">
              <w:rPr>
                <w:sz w:val="24"/>
                <w:szCs w:val="24"/>
              </w:rPr>
              <w:t>requirements,including</w:t>
            </w:r>
            <w:proofErr w:type="spellEnd"/>
            <w:proofErr w:type="gramEnd"/>
            <w:r w:rsidRPr="00782BD2">
              <w:rPr>
                <w:sz w:val="24"/>
                <w:szCs w:val="24"/>
              </w:rPr>
              <w:t xml:space="preserve"> those contained in NFPA 1035.</w:t>
            </w:r>
          </w:p>
        </w:tc>
        <w:tc>
          <w:tcPr>
            <w:tcW w:w="2785" w:type="dxa"/>
          </w:tcPr>
          <w:p w:rsidR="005816EE" w:rsidRPr="0095477A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:rsidTr="003D15E2">
        <w:trPr>
          <w:jc w:val="center"/>
        </w:trPr>
        <w:tc>
          <w:tcPr>
            <w:tcW w:w="2605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5816EE" w:rsidRPr="005816EE" w:rsidRDefault="007E1E18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5.7.2 </w:t>
            </w:r>
            <w:r w:rsidRPr="00782BD2">
              <w:rPr>
                <w:sz w:val="24"/>
                <w:szCs w:val="24"/>
              </w:rPr>
              <w:t>Develop a comprehensive organizational fire and life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safety education strategy, given a systematic planning process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and relevant information, so that program goals, design, </w:t>
            </w:r>
            <w:proofErr w:type="spellStart"/>
            <w:proofErr w:type="gramStart"/>
            <w:r w:rsidRPr="00782BD2">
              <w:rPr>
                <w:sz w:val="24"/>
                <w:szCs w:val="24"/>
              </w:rPr>
              <w:t>resources,implementation</w:t>
            </w:r>
            <w:proofErr w:type="spellEnd"/>
            <w:proofErr w:type="gramEnd"/>
            <w:r w:rsidRPr="00782BD2">
              <w:rPr>
                <w:sz w:val="24"/>
                <w:szCs w:val="24"/>
              </w:rPr>
              <w:t>, and evaluation methods are included.</w:t>
            </w: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7E1E18" w:rsidRPr="0095477A" w:rsidTr="003D15E2">
        <w:trPr>
          <w:jc w:val="center"/>
        </w:trPr>
        <w:tc>
          <w:tcPr>
            <w:tcW w:w="2605" w:type="dxa"/>
          </w:tcPr>
          <w:p w:rsidR="007E1E18" w:rsidRPr="0095477A" w:rsidRDefault="007E1E18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7E1E18" w:rsidRPr="00782BD2" w:rsidRDefault="007E1E18" w:rsidP="007E1E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5.7.3 </w:t>
            </w:r>
            <w:r w:rsidRPr="00782BD2">
              <w:rPr>
                <w:sz w:val="24"/>
                <w:szCs w:val="24"/>
              </w:rPr>
              <w:t>Create a collaborative fire and life safety education partnership,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given a description of local community groups, a list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of fire and injury priorities, and organizational policies for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community partnerships, so that a </w:t>
            </w:r>
            <w:proofErr w:type="gramStart"/>
            <w:r w:rsidRPr="00782BD2">
              <w:rPr>
                <w:sz w:val="24"/>
                <w:szCs w:val="24"/>
              </w:rPr>
              <w:t>specific fire</w:t>
            </w:r>
            <w:proofErr w:type="gramEnd"/>
            <w:r w:rsidRPr="00782BD2">
              <w:rPr>
                <w:sz w:val="24"/>
                <w:szCs w:val="24"/>
              </w:rPr>
              <w:t xml:space="preserve"> or injury priority</w:t>
            </w:r>
          </w:p>
          <w:p w:rsidR="007E1E18" w:rsidRPr="005816EE" w:rsidRDefault="007E1E18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sz w:val="24"/>
                <w:szCs w:val="24"/>
              </w:rPr>
              <w:t>is mitigated by the partnership.</w:t>
            </w:r>
          </w:p>
        </w:tc>
        <w:tc>
          <w:tcPr>
            <w:tcW w:w="2785" w:type="dxa"/>
          </w:tcPr>
          <w:p w:rsidR="007E1E18" w:rsidRDefault="007E1E18" w:rsidP="005816EE">
            <w:pPr>
              <w:rPr>
                <w:noProof/>
                <w:sz w:val="24"/>
                <w:szCs w:val="24"/>
              </w:rPr>
            </w:pPr>
          </w:p>
        </w:tc>
      </w:tr>
      <w:tr w:rsidR="007E1E18" w:rsidRPr="0095477A" w:rsidTr="003D15E2">
        <w:trPr>
          <w:jc w:val="center"/>
        </w:trPr>
        <w:tc>
          <w:tcPr>
            <w:tcW w:w="2605" w:type="dxa"/>
          </w:tcPr>
          <w:p w:rsidR="007E1E18" w:rsidRPr="0095477A" w:rsidRDefault="007E1E18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7E1E18" w:rsidRDefault="007E1E18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5.7.4 </w:t>
            </w:r>
            <w:r w:rsidRPr="00782BD2">
              <w:rPr>
                <w:sz w:val="24"/>
                <w:szCs w:val="24"/>
              </w:rPr>
              <w:t>Create an awareness campaign within the organization,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given identified fire and life safety education goals and </w:t>
            </w:r>
            <w:proofErr w:type="spellStart"/>
            <w:proofErr w:type="gramStart"/>
            <w:r w:rsidRPr="00782BD2">
              <w:rPr>
                <w:sz w:val="24"/>
                <w:szCs w:val="24"/>
              </w:rPr>
              <w:t>policies,so</w:t>
            </w:r>
            <w:proofErr w:type="spellEnd"/>
            <w:proofErr w:type="gramEnd"/>
            <w:r w:rsidRPr="00782BD2">
              <w:rPr>
                <w:sz w:val="24"/>
                <w:szCs w:val="24"/>
              </w:rPr>
              <w:t xml:space="preserve"> that all members are informed of their role within the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organization’s fire and life safety education strategy.</w:t>
            </w:r>
          </w:p>
          <w:p w:rsidR="00A80DB7" w:rsidRDefault="00A80DB7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80DB7" w:rsidRPr="005816EE" w:rsidRDefault="00A80DB7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:rsidR="007E1E18" w:rsidRDefault="007E1E18" w:rsidP="005816EE">
            <w:pPr>
              <w:rPr>
                <w:noProof/>
                <w:sz w:val="24"/>
                <w:szCs w:val="24"/>
              </w:rPr>
            </w:pPr>
          </w:p>
        </w:tc>
      </w:tr>
      <w:tr w:rsidR="007E1E18" w:rsidRPr="0095477A" w:rsidTr="003D15E2">
        <w:trPr>
          <w:jc w:val="center"/>
        </w:trPr>
        <w:tc>
          <w:tcPr>
            <w:tcW w:w="2605" w:type="dxa"/>
          </w:tcPr>
          <w:p w:rsidR="007E1E18" w:rsidRPr="0095477A" w:rsidRDefault="007E1E18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7E1E18" w:rsidRPr="005816EE" w:rsidRDefault="007E1E18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5.7.5 </w:t>
            </w:r>
            <w:r w:rsidRPr="00782BD2">
              <w:rPr>
                <w:sz w:val="24"/>
                <w:szCs w:val="24"/>
              </w:rPr>
              <w:t>Create comprehensive fire and life safety education report(s) for policy makers, given relevant information, so that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educational strategies, goals, objectives, activities, </w:t>
            </w:r>
            <w:proofErr w:type="spellStart"/>
            <w:proofErr w:type="gramStart"/>
            <w:r w:rsidRPr="00782BD2">
              <w:rPr>
                <w:sz w:val="24"/>
                <w:szCs w:val="24"/>
              </w:rPr>
              <w:t>impact,budgets</w:t>
            </w:r>
            <w:proofErr w:type="spellEnd"/>
            <w:proofErr w:type="gramEnd"/>
            <w:r w:rsidRPr="00782BD2">
              <w:rPr>
                <w:sz w:val="24"/>
                <w:szCs w:val="24"/>
              </w:rPr>
              <w:t xml:space="preserve">, and outcomes are clearly described. </w:t>
            </w:r>
          </w:p>
        </w:tc>
        <w:tc>
          <w:tcPr>
            <w:tcW w:w="2785" w:type="dxa"/>
          </w:tcPr>
          <w:p w:rsidR="007E1E18" w:rsidRDefault="007E1E18" w:rsidP="005816EE">
            <w:pPr>
              <w:rPr>
                <w:noProof/>
                <w:sz w:val="24"/>
                <w:szCs w:val="24"/>
              </w:rPr>
            </w:pPr>
          </w:p>
        </w:tc>
      </w:tr>
      <w:tr w:rsidR="007E1E18" w:rsidRPr="0095477A" w:rsidTr="003D15E2">
        <w:trPr>
          <w:jc w:val="center"/>
        </w:trPr>
        <w:tc>
          <w:tcPr>
            <w:tcW w:w="2605" w:type="dxa"/>
          </w:tcPr>
          <w:p w:rsidR="007E1E18" w:rsidRPr="0095477A" w:rsidRDefault="007E1E18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7E1E18" w:rsidRPr="005816EE" w:rsidRDefault="007E1E18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5.7.6 </w:t>
            </w:r>
            <w:r w:rsidRPr="00782BD2">
              <w:rPr>
                <w:sz w:val="24"/>
                <w:szCs w:val="24"/>
              </w:rPr>
              <w:t>Evaluate fire and life safety programs, given data to indicate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risk reduction and loss reduction, so that measurable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interpretation of educational efforts can be reported.</w:t>
            </w:r>
          </w:p>
        </w:tc>
        <w:tc>
          <w:tcPr>
            <w:tcW w:w="2785" w:type="dxa"/>
          </w:tcPr>
          <w:p w:rsidR="007E1E18" w:rsidRDefault="007E1E18" w:rsidP="005816EE">
            <w:pPr>
              <w:rPr>
                <w:noProof/>
                <w:sz w:val="24"/>
                <w:szCs w:val="24"/>
              </w:rPr>
            </w:pPr>
          </w:p>
        </w:tc>
      </w:tr>
      <w:tr w:rsidR="007E1E18" w:rsidRPr="0095477A" w:rsidTr="003D15E2">
        <w:trPr>
          <w:jc w:val="center"/>
        </w:trPr>
        <w:tc>
          <w:tcPr>
            <w:tcW w:w="2605" w:type="dxa"/>
          </w:tcPr>
          <w:p w:rsidR="007E1E18" w:rsidRPr="0095477A" w:rsidRDefault="007E1E18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7E1E18" w:rsidRPr="005816EE" w:rsidRDefault="007E1E18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5.7.7</w:t>
            </w:r>
            <w:r w:rsidRPr="00782BD2">
              <w:rPr>
                <w:b/>
                <w:bCs/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Implement a comprehensive fire and life safety program,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given a systematic development process, so that program </w:t>
            </w:r>
            <w:proofErr w:type="spellStart"/>
            <w:proofErr w:type="gramStart"/>
            <w:r w:rsidRPr="00782BD2">
              <w:rPr>
                <w:sz w:val="24"/>
                <w:szCs w:val="24"/>
              </w:rPr>
              <w:t>goals,objectives</w:t>
            </w:r>
            <w:proofErr w:type="spellEnd"/>
            <w:proofErr w:type="gramEnd"/>
            <w:r w:rsidRPr="00782BD2">
              <w:rPr>
                <w:sz w:val="24"/>
                <w:szCs w:val="24"/>
              </w:rPr>
              <w:t>, design, resources, and evaluation methods are included.</w:t>
            </w:r>
          </w:p>
        </w:tc>
        <w:tc>
          <w:tcPr>
            <w:tcW w:w="2785" w:type="dxa"/>
          </w:tcPr>
          <w:p w:rsidR="007E1E18" w:rsidRDefault="007E1E18" w:rsidP="005816EE">
            <w:pPr>
              <w:rPr>
                <w:noProof/>
                <w:sz w:val="24"/>
                <w:szCs w:val="24"/>
              </w:rPr>
            </w:pPr>
          </w:p>
        </w:tc>
      </w:tr>
    </w:tbl>
    <w:p w:rsidR="007E1E18" w:rsidRDefault="007E1E18"/>
    <w:p w:rsidR="007E1E18" w:rsidRDefault="007E1E18"/>
    <w:p w:rsidR="005728AD" w:rsidRDefault="005728AD"/>
    <w:sectPr w:rsidR="005728AD" w:rsidSect="00D90D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B3" w:rsidRDefault="004A14B3" w:rsidP="004A14B3">
      <w:r>
        <w:separator/>
      </w:r>
    </w:p>
  </w:endnote>
  <w:endnote w:type="continuationSeparator" w:id="0">
    <w:p w:rsidR="004A14B3" w:rsidRDefault="004A14B3" w:rsidP="004A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0E0" w:rsidRDefault="00496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39085057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1743221063"/>
          <w:docPartObj>
            <w:docPartGallery w:val="Page Numbers (Top of Page)"/>
            <w:docPartUnique/>
          </w:docPartObj>
        </w:sdtPr>
        <w:sdtEndPr/>
        <w:sdtContent>
          <w:p w:rsid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</w:p>
          <w:p w:rsidR="001B1344" w:rsidRDefault="00D90DDE" w:rsidP="00D90DDE">
            <w:pPr>
              <w:pStyle w:val="Header"/>
              <w:rPr>
                <w:b/>
                <w:sz w:val="20"/>
                <w:szCs w:val="20"/>
              </w:rPr>
            </w:pPr>
            <w:r w:rsidRPr="001B1344">
              <w:rPr>
                <w:b/>
                <w:sz w:val="20"/>
                <w:szCs w:val="20"/>
              </w:rPr>
              <w:t xml:space="preserve">Worksheet: </w:t>
            </w:r>
            <w:r w:rsidR="004960E0">
              <w:rPr>
                <w:b/>
                <w:sz w:val="20"/>
                <w:szCs w:val="20"/>
              </w:rPr>
              <w:t>BFST4585</w:t>
            </w:r>
            <w:r w:rsidR="007E1E18">
              <w:rPr>
                <w:b/>
                <w:sz w:val="20"/>
                <w:szCs w:val="20"/>
              </w:rPr>
              <w:t xml:space="preserve"> Fire Prevention Organizational Management </w:t>
            </w:r>
            <w:r w:rsidRPr="001B1344">
              <w:rPr>
                <w:b/>
                <w:sz w:val="20"/>
                <w:szCs w:val="20"/>
              </w:rPr>
              <w:tab/>
            </w:r>
            <w:r w:rsidR="001B1344">
              <w:rPr>
                <w:b/>
                <w:sz w:val="20"/>
                <w:szCs w:val="20"/>
              </w:rPr>
              <w:tab/>
            </w:r>
          </w:p>
          <w:p w:rsidR="00D90DDE" w:rsidRP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D90DDE" w:rsidRPr="001B1344">
              <w:rPr>
                <w:b/>
                <w:sz w:val="20"/>
                <w:szCs w:val="20"/>
              </w:rPr>
              <w:t xml:space="preserve">Page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382F5A">
              <w:rPr>
                <w:b/>
                <w:bCs/>
                <w:noProof/>
                <w:sz w:val="20"/>
                <w:szCs w:val="20"/>
              </w:rPr>
              <w:t>3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  <w:r w:rsidR="00D90DDE" w:rsidRPr="001B1344">
              <w:rPr>
                <w:b/>
                <w:sz w:val="20"/>
                <w:szCs w:val="20"/>
              </w:rPr>
              <w:t xml:space="preserve"> of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382F5A">
              <w:rPr>
                <w:b/>
                <w:bCs/>
                <w:noProof/>
                <w:sz w:val="20"/>
                <w:szCs w:val="20"/>
              </w:rPr>
              <w:t>3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0E0" w:rsidRDefault="00496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B3" w:rsidRDefault="004A14B3" w:rsidP="004A14B3">
      <w:r>
        <w:separator/>
      </w:r>
    </w:p>
  </w:footnote>
  <w:footnote w:type="continuationSeparator" w:id="0">
    <w:p w:rsidR="004A14B3" w:rsidRDefault="004A14B3" w:rsidP="004A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0E0" w:rsidRDefault="004960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8B" w:rsidRPr="00635D8B" w:rsidRDefault="007A54CA" w:rsidP="00635D8B">
    <w:pPr>
      <w:pStyle w:val="Default"/>
      <w:jc w:val="right"/>
      <w:rPr>
        <w:bCs/>
        <w:sz w:val="20"/>
        <w:szCs w:val="20"/>
      </w:rPr>
    </w:pPr>
    <w:r>
      <w:rPr>
        <w:noProof/>
        <w:color w:val="auto"/>
        <w:sz w:val="22"/>
        <w:szCs w:val="22"/>
      </w:rPr>
      <w:drawing>
        <wp:anchor distT="0" distB="0" distL="114300" distR="114300" simplePos="0" relativeHeight="251665408" behindDoc="0" locked="0" layoutInCell="1" allowOverlap="1" wp14:anchorId="66FEB805" wp14:editId="54E67B5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22960" cy="914400"/>
          <wp:effectExtent l="0" t="0" r="0" b="0"/>
          <wp:wrapNone/>
          <wp:docPr id="48" name="Picture 48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D8B">
      <w:rPr>
        <w:bCs/>
        <w:sz w:val="20"/>
        <w:szCs w:val="20"/>
      </w:rPr>
      <w:t xml:space="preserve">Revised: </w:t>
    </w:r>
    <w:r w:rsidR="00635D8B" w:rsidRPr="00635D8B">
      <w:rPr>
        <w:bCs/>
        <w:sz w:val="20"/>
        <w:szCs w:val="20"/>
      </w:rPr>
      <w:fldChar w:fldCharType="begin"/>
    </w:r>
    <w:r w:rsidR="00635D8B" w:rsidRPr="00635D8B">
      <w:rPr>
        <w:bCs/>
        <w:sz w:val="20"/>
        <w:szCs w:val="20"/>
      </w:rPr>
      <w:instrText xml:space="preserve"> DATE \@ "M/d/yyyy" </w:instrText>
    </w:r>
    <w:r w:rsidR="00635D8B" w:rsidRPr="00635D8B">
      <w:rPr>
        <w:bCs/>
        <w:sz w:val="20"/>
        <w:szCs w:val="20"/>
      </w:rPr>
      <w:fldChar w:fldCharType="separate"/>
    </w:r>
    <w:r w:rsidR="00382F5A">
      <w:rPr>
        <w:bCs/>
        <w:noProof/>
        <w:sz w:val="20"/>
        <w:szCs w:val="20"/>
      </w:rPr>
      <w:t>10/2/2017</w:t>
    </w:r>
    <w:r w:rsidR="00635D8B" w:rsidRPr="00635D8B">
      <w:rPr>
        <w:bCs/>
        <w:sz w:val="20"/>
        <w:szCs w:val="20"/>
      </w:rPr>
      <w:fldChar w:fldCharType="end"/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 xml:space="preserve">Department of Financial Services </w:t>
    </w:r>
  </w:p>
  <w:p w:rsidR="005E1E4D" w:rsidRDefault="00AA0CF4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Division</w:t>
    </w:r>
    <w:r w:rsidR="005E1E4D">
      <w:rPr>
        <w:b/>
        <w:bCs/>
        <w:szCs w:val="32"/>
      </w:rPr>
      <w:t xml:space="preserve"> of State Fire Marshal</w:t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Bureau of Fire Standards and Training</w:t>
    </w:r>
  </w:p>
  <w:p w:rsidR="005E1E4D" w:rsidRDefault="005E1E4D" w:rsidP="005E1E4D">
    <w:pPr>
      <w:pStyle w:val="Default"/>
      <w:jc w:val="center"/>
      <w:rPr>
        <w:b/>
        <w:bCs/>
        <w:szCs w:val="32"/>
      </w:rPr>
    </w:pPr>
  </w:p>
  <w:p w:rsidR="005E1E4D" w:rsidRDefault="005E1E4D" w:rsidP="001B4C0D">
    <w:pPr>
      <w:pStyle w:val="Default"/>
      <w:rPr>
        <w:b/>
        <w:bCs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F4" w:rsidRPr="00D90DDE" w:rsidRDefault="007A54CA" w:rsidP="00AA0CF4">
    <w:pPr>
      <w:pStyle w:val="Default"/>
      <w:jc w:val="right"/>
      <w:rPr>
        <w:b/>
        <w:bCs/>
        <w:sz w:val="20"/>
        <w:szCs w:val="20"/>
      </w:rPr>
    </w:pPr>
    <w:r w:rsidRPr="00D90DDE">
      <w:rPr>
        <w:b/>
        <w:noProof/>
        <w:color w:val="auto"/>
        <w:sz w:val="22"/>
        <w:szCs w:val="22"/>
      </w:rPr>
      <w:drawing>
        <wp:anchor distT="0" distB="0" distL="114300" distR="114300" simplePos="0" relativeHeight="251663360" behindDoc="0" locked="0" layoutInCell="1" allowOverlap="1" wp14:anchorId="4AAEFF78" wp14:editId="368B7A62">
          <wp:simplePos x="0" y="0"/>
          <wp:positionH relativeFrom="column">
            <wp:posOffset>-161925</wp:posOffset>
          </wp:positionH>
          <wp:positionV relativeFrom="paragraph">
            <wp:posOffset>-76200</wp:posOffset>
          </wp:positionV>
          <wp:extent cx="822960" cy="914400"/>
          <wp:effectExtent l="0" t="0" r="0" b="0"/>
          <wp:wrapNone/>
          <wp:docPr id="49" name="Picture 7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F4" w:rsidRPr="00D90DDE">
      <w:rPr>
        <w:b/>
        <w:bCs/>
        <w:sz w:val="20"/>
        <w:szCs w:val="20"/>
      </w:rPr>
      <w:t xml:space="preserve">Revised </w:t>
    </w:r>
    <w:r w:rsidR="00AA0CF4" w:rsidRPr="00D90DDE">
      <w:rPr>
        <w:b/>
        <w:bCs/>
        <w:sz w:val="20"/>
        <w:szCs w:val="20"/>
      </w:rPr>
      <w:fldChar w:fldCharType="begin"/>
    </w:r>
    <w:r w:rsidR="00AA0CF4" w:rsidRPr="00D90DDE">
      <w:rPr>
        <w:b/>
        <w:bCs/>
        <w:sz w:val="20"/>
        <w:szCs w:val="20"/>
      </w:rPr>
      <w:instrText xml:space="preserve"> DATE \@ "M/d/yyyy" </w:instrText>
    </w:r>
    <w:r w:rsidR="00AA0CF4" w:rsidRPr="00D90DDE">
      <w:rPr>
        <w:b/>
        <w:bCs/>
        <w:sz w:val="20"/>
        <w:szCs w:val="20"/>
      </w:rPr>
      <w:fldChar w:fldCharType="separate"/>
    </w:r>
    <w:r w:rsidR="00382F5A">
      <w:rPr>
        <w:b/>
        <w:bCs/>
        <w:noProof/>
        <w:sz w:val="20"/>
        <w:szCs w:val="20"/>
      </w:rPr>
      <w:t>10/2/2017</w:t>
    </w:r>
    <w:r w:rsidR="00AA0CF4" w:rsidRPr="00D90DDE">
      <w:rPr>
        <w:b/>
        <w:bCs/>
        <w:sz w:val="20"/>
        <w:szCs w:val="20"/>
      </w:rPr>
      <w:fldChar w:fldCharType="end"/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 xml:space="preserve">Department of Financial Services 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Division of State Fire Marshal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Bureau of Fire Standards and Training</w:t>
    </w:r>
  </w:p>
  <w:p w:rsidR="00AA0CF4" w:rsidRPr="00D90DDE" w:rsidRDefault="00AA0CF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B3F"/>
    <w:multiLevelType w:val="hybridMultilevel"/>
    <w:tmpl w:val="F66E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027"/>
    <w:multiLevelType w:val="hybridMultilevel"/>
    <w:tmpl w:val="8E1AF4F0"/>
    <w:lvl w:ilvl="0" w:tplc="2CA4F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D5536"/>
    <w:multiLevelType w:val="hybridMultilevel"/>
    <w:tmpl w:val="FA5093A8"/>
    <w:lvl w:ilvl="0" w:tplc="5316D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E3F9F"/>
    <w:multiLevelType w:val="hybridMultilevel"/>
    <w:tmpl w:val="020C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30CF"/>
    <w:multiLevelType w:val="hybridMultilevel"/>
    <w:tmpl w:val="18722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795FF5"/>
    <w:multiLevelType w:val="hybridMultilevel"/>
    <w:tmpl w:val="1F706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F9"/>
    <w:rsid w:val="00013C74"/>
    <w:rsid w:val="000925F6"/>
    <w:rsid w:val="000C2729"/>
    <w:rsid w:val="001777F7"/>
    <w:rsid w:val="001B1344"/>
    <w:rsid w:val="001B4C0D"/>
    <w:rsid w:val="00243815"/>
    <w:rsid w:val="00266980"/>
    <w:rsid w:val="00301DF9"/>
    <w:rsid w:val="00382F5A"/>
    <w:rsid w:val="003C47FD"/>
    <w:rsid w:val="003D15E2"/>
    <w:rsid w:val="00403D5D"/>
    <w:rsid w:val="004960E0"/>
    <w:rsid w:val="004A14B3"/>
    <w:rsid w:val="00565735"/>
    <w:rsid w:val="005728AD"/>
    <w:rsid w:val="005816EE"/>
    <w:rsid w:val="005A30BD"/>
    <w:rsid w:val="005C5EC9"/>
    <w:rsid w:val="005E1E4D"/>
    <w:rsid w:val="0062303D"/>
    <w:rsid w:val="00635D8B"/>
    <w:rsid w:val="00660C89"/>
    <w:rsid w:val="006B17D0"/>
    <w:rsid w:val="00794A54"/>
    <w:rsid w:val="007A54CA"/>
    <w:rsid w:val="007E1E18"/>
    <w:rsid w:val="0084201A"/>
    <w:rsid w:val="008E22F2"/>
    <w:rsid w:val="00913D92"/>
    <w:rsid w:val="00956285"/>
    <w:rsid w:val="009811C1"/>
    <w:rsid w:val="00A5482E"/>
    <w:rsid w:val="00A65F9B"/>
    <w:rsid w:val="00A80DB7"/>
    <w:rsid w:val="00AA0CF4"/>
    <w:rsid w:val="00C61748"/>
    <w:rsid w:val="00C808B2"/>
    <w:rsid w:val="00D00560"/>
    <w:rsid w:val="00D3089D"/>
    <w:rsid w:val="00D90DDE"/>
    <w:rsid w:val="00E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BD549EB0-5885-48A0-AC3E-3B534ED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DF9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1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DF9"/>
    <w:pPr>
      <w:ind w:left="720"/>
      <w:contextualSpacing/>
    </w:pPr>
  </w:style>
  <w:style w:type="table" w:styleId="TableGrid">
    <w:name w:val="Table Grid"/>
    <w:basedOn w:val="TableNormal"/>
    <w:uiPriority w:val="39"/>
    <w:rsid w:val="0030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B3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B3"/>
    <w:rPr>
      <w:rFonts w:ascii="Arial" w:eastAsia="Times New Roman" w:hAnsi="Arial" w:cs="Arial"/>
    </w:rPr>
  </w:style>
  <w:style w:type="paragraph" w:customStyle="1" w:styleId="Default">
    <w:name w:val="Default"/>
    <w:rsid w:val="005E1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CollegeTraining@MyFloridaCF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3985-BBF8-466A-8DC2-809D1878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3106</Characters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2017-09-26T18:22:00Z</cp:lastPrinted>
  <dcterms:created xsi:type="dcterms:W3CDTF">2017-10-02T15:11:00Z</dcterms:created>
  <dcterms:modified xsi:type="dcterms:W3CDTF">2017-10-02T15:11:00Z</dcterms:modified>
</cp:coreProperties>
</file>